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C" w:rsidRDefault="0068301C" w:rsidP="0068301C">
      <w:pPr>
        <w:spacing w:line="6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年洛阳市洛龙区安全生产监督管理局部门决算</w:t>
      </w:r>
    </w:p>
    <w:p w:rsidR="0068301C" w:rsidRDefault="0068301C" w:rsidP="0068301C">
      <w:pPr>
        <w:spacing w:line="6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情况说明</w:t>
      </w:r>
    </w:p>
    <w:p w:rsidR="0068301C" w:rsidRDefault="0068301C" w:rsidP="0068301C">
      <w:pPr>
        <w:spacing w:line="6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68301C" w:rsidRDefault="0068301C" w:rsidP="006830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一、部门基本情况</w:t>
      </w:r>
    </w:p>
    <w:p w:rsidR="0068301C" w:rsidRDefault="0068301C" w:rsidP="0068301C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（一）部门机构设置、职能</w:t>
      </w:r>
    </w:p>
    <w:p w:rsidR="0068301C" w:rsidRDefault="0068301C" w:rsidP="0068301C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洛龙区安全生产监督管理局内设4个职能科室，分别为办公室、安全监管一科、安全监管二科和政策法规科五个科室。其主要职责是：承担区政府安生生产委员会办公室的工作；综合管理全区安全生产工作；依法行使区安全生产综合监督管理职权，指导、协调有关部门的安全生产监督管理工作；负责综合监督管理矿山、危险化学品和烟花爆竹安全生产工作；指导、协调全区安全生产检测检验工作；组织、指导全区安全生产宣传教育工作，负责安全生产监督管理人员的安全培训、考核工作；负责监督管理全区工矿商贸企业安全生产工作；依法监督检查新建、改建、扩建工程项目的安全设施与主体工程同时设计、同时施工、同时投产情况；承担全区安全生产责任和安全生产目标、管理考核、奖惩职能；负责本部门、本系统突发公共事件的应急管理工作，贯彻落实突发公共事件应急预案，预防和处置本部门、本系统的突发事件。    </w:t>
      </w:r>
    </w:p>
    <w:p w:rsidR="0068301C" w:rsidRDefault="0068301C" w:rsidP="0068301C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 xml:space="preserve">    （二）人员构成情况</w:t>
      </w:r>
    </w:p>
    <w:p w:rsidR="0068301C" w:rsidRDefault="0068301C" w:rsidP="0068301C">
      <w:pPr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洛龙区安全生产监督管理局共有编制</w:t>
      </w:r>
      <w:r>
        <w:rPr>
          <w:rFonts w:eastAsia="仿宋"/>
          <w:sz w:val="32"/>
          <w:szCs w:val="32"/>
        </w:rPr>
        <w:t>23</w:t>
      </w:r>
      <w:r>
        <w:rPr>
          <w:rFonts w:eastAsia="仿宋"/>
          <w:sz w:val="32"/>
          <w:szCs w:val="32"/>
        </w:rPr>
        <w:t>人，其中：行政编制</w:t>
      </w:r>
      <w:r>
        <w:rPr>
          <w:rFonts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人，事业编制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人；</w:t>
      </w:r>
      <w:r>
        <w:rPr>
          <w:rFonts w:eastAsia="仿宋" w:hint="eastAsia"/>
          <w:sz w:val="32"/>
          <w:szCs w:val="32"/>
        </w:rPr>
        <w:t>实有</w:t>
      </w:r>
      <w:r>
        <w:rPr>
          <w:rFonts w:eastAsia="仿宋"/>
          <w:sz w:val="32"/>
          <w:szCs w:val="32"/>
        </w:rPr>
        <w:t>在职职工</w:t>
      </w:r>
      <w:r>
        <w:rPr>
          <w:rFonts w:eastAsia="仿宋" w:hint="eastAsia"/>
          <w:sz w:val="32"/>
          <w:szCs w:val="32"/>
        </w:rPr>
        <w:t>24</w:t>
      </w:r>
      <w:r>
        <w:rPr>
          <w:rFonts w:eastAsia="仿宋"/>
          <w:sz w:val="32"/>
          <w:szCs w:val="32"/>
        </w:rPr>
        <w:t>人，离退休人员</w:t>
      </w:r>
      <w:r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人。</w:t>
      </w:r>
    </w:p>
    <w:p w:rsidR="0068301C" w:rsidRDefault="0068301C" w:rsidP="0068301C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（三）预算年度主要工作任务</w:t>
      </w:r>
    </w:p>
    <w:p w:rsidR="0068301C" w:rsidRDefault="0068301C" w:rsidP="0068301C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做好内的安全生产宣传培训工作，提高群众的安全意识，做好全区安全生产企业的监督检查工作，及时排除法安全生产隐患，做到防患于未燃。</w:t>
      </w:r>
    </w:p>
    <w:p w:rsidR="0068301C" w:rsidRPr="006A22B2" w:rsidRDefault="0068301C" w:rsidP="006830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6A22B2">
        <w:rPr>
          <w:rFonts w:ascii="黑体" w:eastAsia="黑体" w:hAnsi="黑体" w:cs="黑体" w:hint="eastAsia"/>
          <w:sz w:val="32"/>
          <w:szCs w:val="32"/>
        </w:rPr>
        <w:t>、预算执行情况分析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color w:val="252525"/>
          <w:sz w:val="32"/>
          <w:szCs w:val="32"/>
        </w:rPr>
      </w:pPr>
      <w:r w:rsidRPr="0068301C">
        <w:rPr>
          <w:rFonts w:ascii="仿宋" w:eastAsia="仿宋" w:hAnsi="仿宋" w:cs="仿宋"/>
          <w:color w:val="252525"/>
          <w:sz w:val="32"/>
          <w:szCs w:val="32"/>
        </w:rPr>
        <w:t>2015年收入预算260.05万元，</w:t>
      </w:r>
      <w:r w:rsidRPr="0068301C">
        <w:rPr>
          <w:rFonts w:ascii="仿宋" w:eastAsia="仿宋" w:hAnsi="仿宋" w:cs="仿宋" w:hint="eastAsia"/>
          <w:color w:val="252525"/>
          <w:sz w:val="32"/>
          <w:szCs w:val="32"/>
        </w:rPr>
        <w:t>全部为</w:t>
      </w:r>
      <w:r w:rsidRPr="0068301C">
        <w:rPr>
          <w:rFonts w:ascii="仿宋" w:eastAsia="仿宋" w:hAnsi="仿宋" w:cs="仿宋"/>
          <w:color w:val="252525"/>
          <w:sz w:val="32"/>
          <w:szCs w:val="32"/>
        </w:rPr>
        <w:t>财政一般拨款。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占总收入的100%。上年结转和结余</w:t>
      </w:r>
      <w:r w:rsidR="00417375">
        <w:rPr>
          <w:rFonts w:ascii="仿宋" w:eastAsia="仿宋" w:hAnsi="仿宋" w:cs="仿宋" w:hint="eastAsia"/>
          <w:color w:val="252525"/>
          <w:sz w:val="32"/>
          <w:szCs w:val="32"/>
        </w:rPr>
        <w:t>40.1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万元。</w:t>
      </w:r>
    </w:p>
    <w:p w:rsidR="0068301C" w:rsidRDefault="0068301C" w:rsidP="00417375">
      <w:pPr>
        <w:spacing w:line="600" w:lineRule="exact"/>
        <w:ind w:firstLineChars="196" w:firstLine="627"/>
        <w:rPr>
          <w:rFonts w:ascii="仿宋" w:eastAsia="仿宋" w:hAnsi="仿宋" w:cs="仿宋"/>
          <w:color w:val="252525"/>
          <w:sz w:val="32"/>
          <w:szCs w:val="32"/>
        </w:rPr>
      </w:pPr>
      <w:r>
        <w:rPr>
          <w:rFonts w:ascii="仿宋" w:eastAsia="仿宋" w:hAnsi="仿宋" w:cs="仿宋" w:hint="eastAsia"/>
          <w:color w:val="252525"/>
          <w:sz w:val="32"/>
          <w:szCs w:val="32"/>
        </w:rPr>
        <w:t>201</w:t>
      </w:r>
      <w:r w:rsidR="00417375">
        <w:rPr>
          <w:rFonts w:ascii="仿宋" w:eastAsia="仿宋" w:hAnsi="仿宋" w:cs="仿宋" w:hint="eastAsia"/>
          <w:color w:val="252525"/>
          <w:sz w:val="32"/>
          <w:szCs w:val="32"/>
        </w:rPr>
        <w:t>5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年部门决算总支出26</w:t>
      </w:r>
      <w:r w:rsidR="00417375">
        <w:rPr>
          <w:rFonts w:ascii="仿宋" w:eastAsia="仿宋" w:hAnsi="仿宋" w:cs="仿宋" w:hint="eastAsia"/>
          <w:color w:val="252525"/>
          <w:sz w:val="32"/>
          <w:szCs w:val="32"/>
        </w:rPr>
        <w:t>2.35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万元，其中基本支出</w:t>
      </w:r>
      <w:r w:rsidR="00417375" w:rsidRPr="00417375">
        <w:rPr>
          <w:rFonts w:ascii="仿宋" w:eastAsia="仿宋" w:hAnsi="仿宋" w:cs="仿宋" w:hint="eastAsia"/>
          <w:color w:val="252525"/>
          <w:sz w:val="32"/>
          <w:szCs w:val="32"/>
        </w:rPr>
        <w:t>184.31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万元,项目支出</w:t>
      </w:r>
      <w:r w:rsidR="00417375">
        <w:rPr>
          <w:rFonts w:ascii="仿宋" w:eastAsia="仿宋" w:hAnsi="仿宋" w:cs="仿宋" w:hint="eastAsia"/>
          <w:color w:val="252525"/>
          <w:sz w:val="32"/>
          <w:szCs w:val="32"/>
        </w:rPr>
        <w:t>56.9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1万元。本年结转和结余</w:t>
      </w:r>
      <w:r w:rsidR="00417375">
        <w:rPr>
          <w:rFonts w:ascii="仿宋" w:eastAsia="仿宋" w:hAnsi="仿宋" w:cs="仿宋" w:hint="eastAsia"/>
          <w:color w:val="252525"/>
          <w:sz w:val="32"/>
          <w:szCs w:val="32"/>
        </w:rPr>
        <w:t>18.87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万元。</w:t>
      </w:r>
    </w:p>
    <w:p w:rsidR="0068301C" w:rsidRPr="00E61F69" w:rsidRDefault="0068301C" w:rsidP="0068301C">
      <w:pPr>
        <w:rPr>
          <w:rFonts w:ascii="黑体" w:eastAsia="黑体" w:hAnsi="黑体" w:cs="黑体"/>
          <w:sz w:val="32"/>
          <w:szCs w:val="32"/>
        </w:rPr>
      </w:pPr>
      <w:r w:rsidRPr="00E61F69">
        <w:rPr>
          <w:rFonts w:ascii="黑体" w:eastAsia="黑体" w:hAnsi="黑体" w:cs="黑体" w:hint="eastAsia"/>
          <w:sz w:val="32"/>
          <w:szCs w:val="32"/>
        </w:rPr>
        <w:t>三、关于机关运行经费支出说明</w:t>
      </w:r>
    </w:p>
    <w:p w:rsidR="0068301C" w:rsidRDefault="00417375" w:rsidP="00417375">
      <w:pPr>
        <w:spacing w:line="600" w:lineRule="exact"/>
        <w:ind w:firstLineChars="196" w:firstLine="627"/>
        <w:rPr>
          <w:rFonts w:ascii="仿宋" w:eastAsia="仿宋" w:hAnsi="仿宋" w:cs="仿宋"/>
          <w:color w:val="252525"/>
          <w:sz w:val="32"/>
          <w:szCs w:val="32"/>
        </w:rPr>
      </w:pPr>
      <w:r>
        <w:rPr>
          <w:rFonts w:ascii="仿宋" w:eastAsia="仿宋" w:hAnsi="仿宋" w:cs="仿宋" w:hint="eastAsia"/>
          <w:color w:val="252525"/>
          <w:sz w:val="32"/>
          <w:szCs w:val="32"/>
        </w:rPr>
        <w:lastRenderedPageBreak/>
        <w:t>2015年部门决算总支出262.35万元，其中基本支出</w:t>
      </w:r>
      <w:r w:rsidRPr="00417375">
        <w:rPr>
          <w:rFonts w:ascii="仿宋" w:eastAsia="仿宋" w:hAnsi="仿宋" w:cs="仿宋" w:hint="eastAsia"/>
          <w:color w:val="252525"/>
          <w:sz w:val="32"/>
          <w:szCs w:val="32"/>
        </w:rPr>
        <w:t>184.31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万元,项目支出56.91万元。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基本支出中：201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5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年人员经费支出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1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67.28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万元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。公用经费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16.40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万元，较上年减少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,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主要原因是：无纸化办公，缩减了公用经费支出。主要包括：办公费、印刷费、咨询费、手续费、邮电费、取暖费、差旅费、委托业务费、工会经费、福利费、其他交通费用、税金及附加费用、其他商品和服务支出。201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5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年项目支出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78.67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万元，主要原因是：201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5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年较1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4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年执法人员外出学习培训次数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增加</w:t>
      </w:r>
      <w:r w:rsidR="0068301C">
        <w:rPr>
          <w:rFonts w:ascii="仿宋" w:eastAsia="仿宋" w:hAnsi="仿宋" w:cs="仿宋" w:hint="eastAsia"/>
          <w:color w:val="252525"/>
          <w:sz w:val="32"/>
          <w:szCs w:val="32"/>
        </w:rPr>
        <w:t>。</w:t>
      </w:r>
    </w:p>
    <w:p w:rsidR="0068301C" w:rsidRPr="00C43142" w:rsidRDefault="0068301C" w:rsidP="0068301C">
      <w:pPr>
        <w:rPr>
          <w:rFonts w:ascii="黑体" w:eastAsia="黑体" w:hAnsi="黑体" w:cs="黑体"/>
          <w:sz w:val="32"/>
          <w:szCs w:val="32"/>
        </w:rPr>
      </w:pPr>
      <w:r w:rsidRPr="00C43142">
        <w:rPr>
          <w:rFonts w:ascii="黑体" w:eastAsia="黑体" w:hAnsi="黑体" w:cs="黑体" w:hint="eastAsia"/>
          <w:sz w:val="32"/>
          <w:szCs w:val="32"/>
        </w:rPr>
        <w:t>四、关于国有资产占有情况说明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color w:val="252525"/>
          <w:sz w:val="32"/>
          <w:szCs w:val="32"/>
        </w:rPr>
      </w:pPr>
      <w:r>
        <w:rPr>
          <w:rFonts w:ascii="仿宋" w:eastAsia="仿宋" w:hAnsi="仿宋" w:cs="仿宋" w:hint="eastAsia"/>
          <w:color w:val="252525"/>
          <w:sz w:val="32"/>
          <w:szCs w:val="32"/>
        </w:rPr>
        <w:t>无200万以上大型设备。</w:t>
      </w:r>
    </w:p>
    <w:p w:rsidR="0068301C" w:rsidRPr="00E61F69" w:rsidRDefault="00563736" w:rsidP="006830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68301C" w:rsidRPr="00E61F69">
        <w:rPr>
          <w:rFonts w:ascii="黑体" w:eastAsia="黑体" w:hAnsi="黑体" w:cs="黑体" w:hint="eastAsia"/>
          <w:sz w:val="32"/>
          <w:szCs w:val="32"/>
        </w:rPr>
        <w:t>、关于政府采购经费情况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color w:val="252525"/>
          <w:sz w:val="32"/>
          <w:szCs w:val="32"/>
        </w:rPr>
      </w:pPr>
      <w:r>
        <w:rPr>
          <w:rFonts w:ascii="仿宋" w:eastAsia="仿宋" w:hAnsi="仿宋" w:cs="仿宋" w:hint="eastAsia"/>
          <w:color w:val="252525"/>
          <w:sz w:val="32"/>
          <w:szCs w:val="32"/>
        </w:rPr>
        <w:t>本部门201</w:t>
      </w:r>
      <w:r w:rsidR="00563736">
        <w:rPr>
          <w:rFonts w:ascii="仿宋" w:eastAsia="仿宋" w:hAnsi="仿宋" w:cs="仿宋" w:hint="eastAsia"/>
          <w:color w:val="252525"/>
          <w:sz w:val="32"/>
          <w:szCs w:val="32"/>
        </w:rPr>
        <w:t>5</w:t>
      </w:r>
      <w:r>
        <w:rPr>
          <w:rFonts w:ascii="仿宋" w:eastAsia="仿宋" w:hAnsi="仿宋" w:cs="仿宋" w:hint="eastAsia"/>
          <w:color w:val="252525"/>
          <w:sz w:val="32"/>
          <w:szCs w:val="32"/>
        </w:rPr>
        <w:t>年无政府采购。</w:t>
      </w:r>
    </w:p>
    <w:p w:rsidR="0068301C" w:rsidRPr="00E61F69" w:rsidRDefault="00563736" w:rsidP="006830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68301C" w:rsidRPr="00E61F69">
        <w:rPr>
          <w:rFonts w:ascii="黑体" w:eastAsia="黑体" w:hAnsi="黑体" w:cs="黑体" w:hint="eastAsia"/>
          <w:sz w:val="32"/>
          <w:szCs w:val="32"/>
        </w:rPr>
        <w:t>、 名词解释</w:t>
      </w:r>
    </w:p>
    <w:p w:rsidR="0068301C" w:rsidRDefault="0068301C" w:rsidP="0068301C">
      <w:pPr>
        <w:spacing w:line="60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一、财政拨款收入：是指省级财政当年拨付的资金。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二、事业收入：是指事业单位开展专业活动及辅助活动所取 得的收入。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三、其他收入：是指部门取得的除“财政拨款”、“事业收入”、“事业单位经营收入”等以外的收入。 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六、基本支出：是指为保障机构正常运转、完成日常工作任务所必需的开支，其内容包括人员经费和日常公用经费两部分。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七、项目支出：是指在基本支出之外，为完成特定的行政工作任务或事业发展目标所发生的支出。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八、一般公共服务（类）××事务（款）：是指××厅（局）用于保障机构正常运行、开展××业务等活动的支出。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（一）行政运行（项）：是指为保障××厅（局）各行政机构正常运转、完成日常工作任务安排的支出。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（二）一般行政管理事务（项）：是指××厅（局）机关及所属二级单位的项目支出。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（三）机关服务（项）：是指为××厅（局）机关提供后勤保障服务的机关服务局的支出。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（四）事业运行（项）：是指事业单位用于保障机构正常运转的基本支出。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九、“三公”经费：是指纳入省级财政预算管理，部门使用财政拨款安排的因公出国（境）费、公务用车购置及运行费和公务接待费。其中，因公出国（境）费反映单位公务出国（境）的住宿费、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68301C" w:rsidRDefault="0068301C" w:rsidP="0068301C">
      <w:pPr>
        <w:spacing w:line="600" w:lineRule="exact"/>
        <w:ind w:firstLineChars="196" w:firstLine="627"/>
        <w:rPr>
          <w:rFonts w:ascii="仿宋" w:eastAsia="仿宋" w:hAnsi="仿宋" w:cs="仿宋"/>
          <w:color w:val="26262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4358AB" w:rsidRDefault="004358AB" w:rsidP="00D31D50">
      <w:pPr>
        <w:spacing w:line="220" w:lineRule="atLeast"/>
      </w:pPr>
    </w:p>
    <w:sectPr w:rsidR="004358AB" w:rsidSect="00D76205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64" w:rsidRDefault="008B2564" w:rsidP="0068301C">
      <w:pPr>
        <w:spacing w:after="0"/>
      </w:pPr>
      <w:r>
        <w:separator/>
      </w:r>
    </w:p>
  </w:endnote>
  <w:endnote w:type="continuationSeparator" w:id="0">
    <w:p w:rsidR="008B2564" w:rsidRDefault="008B2564" w:rsidP="006830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64" w:rsidRDefault="008B2564" w:rsidP="0068301C">
      <w:pPr>
        <w:spacing w:after="0"/>
      </w:pPr>
      <w:r>
        <w:separator/>
      </w:r>
    </w:p>
  </w:footnote>
  <w:footnote w:type="continuationSeparator" w:id="0">
    <w:p w:rsidR="008B2564" w:rsidRDefault="008B2564" w:rsidP="006830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7375"/>
    <w:rsid w:val="00426133"/>
    <w:rsid w:val="004358AB"/>
    <w:rsid w:val="00563736"/>
    <w:rsid w:val="0068301C"/>
    <w:rsid w:val="00812C17"/>
    <w:rsid w:val="008B2564"/>
    <w:rsid w:val="008B7726"/>
    <w:rsid w:val="0090597F"/>
    <w:rsid w:val="00D31D50"/>
    <w:rsid w:val="00D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0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0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0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0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2017-11-17T03:58:00Z</dcterms:modified>
</cp:coreProperties>
</file>