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洛龙区交通运输局2015年决算说明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spacing w:line="580" w:lineRule="exact"/>
        <w:ind w:firstLine="600" w:firstLineChars="200"/>
        <w:jc w:val="left"/>
        <w:rPr>
          <w:rFonts w:hint="eastAsia" w:ascii="方正小标宋简体" w:eastAsia="方正小标宋简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我单位2015年决算中没有</w:t>
      </w:r>
      <w:r>
        <w:rPr>
          <w:rFonts w:hint="eastAsia" w:ascii="方正小标宋简体" w:eastAsia="方正小标宋简体"/>
          <w:sz w:val="30"/>
          <w:szCs w:val="30"/>
        </w:rPr>
        <w:t>政府性基金预算财政拨款收入支出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，此表为空表。</w:t>
      </w:r>
    </w:p>
    <w:p>
      <w:pPr>
        <w:spacing w:line="580" w:lineRule="exact"/>
        <w:ind w:firstLine="600" w:firstLineChars="200"/>
        <w:jc w:val="left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t>特此说明。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77403"/>
    <w:rsid w:val="1DD77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2017-11-17T00:31:00Z</dcterms:created>
  <dc:creator>admin</dc:creator>
  <cp:lastModifiedBy>admin</cp:lastModifiedBy>
  <dcterms:modified xsi:type="dcterms:W3CDTF">2017-11-17T00:36:23Z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