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A8" w:rsidRPr="00DB18A5" w:rsidRDefault="00106AA8" w:rsidP="00106AA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18A5">
        <w:rPr>
          <w:rFonts w:ascii="宋体" w:eastAsia="宋体" w:hAnsi="宋体" w:cs="宋体"/>
          <w:color w:val="333333"/>
          <w:kern w:val="0"/>
          <w:sz w:val="24"/>
          <w:szCs w:val="24"/>
        </w:rPr>
        <w:t>名词解释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一、财政拨款收入：是指省级财政当年拨付的资金。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二、基本支出：是指为保障机构正常运转、完成日常工作任务所必需的开支，其内容包括人员经费和日常公用经费两部分。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三、项目支出：是指在基本支出之外，为完成特定的教育工作任务或事业发展目标所发生的支出。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四、事业运行：是指事业单位用于保障机构正常运转的基本支出。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五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106AA8" w:rsidRPr="00DB18A5" w:rsidRDefault="00106AA8" w:rsidP="00106AA8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六、机关事业单位运行经费：是指为保障行政事业单位（含参照公务员法管理的事业单位）运行用于购买货物和服务的各项资金，包括办公费、印刷费、邮电费、差旅费、会议费、福利费、日常维修费及一般设备购置费、办公用房水电费、办公用房取暖费、办公用房物业管理费、公务用车运行维护费以及其他费。</w:t>
      </w:r>
    </w:p>
    <w:p w:rsidR="00F4498F" w:rsidRPr="00106AA8" w:rsidRDefault="00F4498F"/>
    <w:sectPr w:rsidR="00F4498F" w:rsidRPr="00106AA8" w:rsidSect="00450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F3" w:rsidRDefault="007936F3" w:rsidP="00106AA8">
      <w:r>
        <w:separator/>
      </w:r>
    </w:p>
  </w:endnote>
  <w:endnote w:type="continuationSeparator" w:id="0">
    <w:p w:rsidR="007936F3" w:rsidRDefault="007936F3" w:rsidP="0010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F3" w:rsidRDefault="007936F3" w:rsidP="00106AA8">
      <w:r>
        <w:separator/>
      </w:r>
    </w:p>
  </w:footnote>
  <w:footnote w:type="continuationSeparator" w:id="0">
    <w:p w:rsidR="007936F3" w:rsidRDefault="007936F3" w:rsidP="00106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AA8"/>
    <w:rsid w:val="00106AA8"/>
    <w:rsid w:val="00450F01"/>
    <w:rsid w:val="007936F3"/>
    <w:rsid w:val="00F30ED0"/>
    <w:rsid w:val="00F4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A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2017-10-25T07:02:00Z</dcterms:created>
  <dcterms:modified xsi:type="dcterms:W3CDTF">2017-10-25T07:02:00Z</dcterms:modified>
</cp:coreProperties>
</file>