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关于机关运行经费支出说明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2016年本部门机关运行经费159246.32元，比2015年增加17848.46元，增长12%。主要原因是</w:t>
      </w:r>
      <w:r>
        <w:rPr>
          <w:rFonts w:hint="eastAsia" w:ascii="楷体_GB2312" w:hAnsi="楷体_GB2312" w:eastAsia="楷体_GB2312" w:cs="楷体_GB2312"/>
          <w:sz w:val="32"/>
          <w:szCs w:val="32"/>
        </w:rPr>
        <w:t>公证业务量呈逐年上升态势，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办公经费开支加大；期间工资标准调整，工资差额从本单位运行经费中支出。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A5188"/>
    <w:rsid w:val="68EA5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2017-09-15T09:02:00Z</dcterms:created>
  <dc:creator>Administrator</dc:creator>
  <cp:lastModifiedBy>Administrator</cp:lastModifiedBy>
  <dcterms:modified xsi:type="dcterms:W3CDTF">2017-09-15T09:29:42Z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