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宋简体" w:hAnsi="方正粗宋简体" w:eastAsia="方正粗宋简体" w:cs="方正粗宋简体"/>
          <w:sz w:val="32"/>
          <w:szCs w:val="32"/>
          <w:lang w:val="en-US" w:eastAsia="zh-CN"/>
        </w:rPr>
      </w:pPr>
      <w:r>
        <w:rPr>
          <w:rFonts w:hint="eastAsia" w:ascii="方正粗宋简体" w:hAnsi="方正粗宋简体" w:eastAsia="方正粗宋简体" w:cs="方正粗宋简体"/>
          <w:sz w:val="32"/>
          <w:szCs w:val="32"/>
          <w:lang w:val="en-US" w:eastAsia="zh-CN"/>
        </w:rPr>
        <w:t>洛龙区工业和信息化委员会</w:t>
      </w:r>
    </w:p>
    <w:p>
      <w:pPr>
        <w:jc w:val="center"/>
        <w:rPr>
          <w:rFonts w:hint="eastAsia" w:ascii="方正粗宋简体" w:hAnsi="方正粗宋简体" w:eastAsia="方正粗宋简体" w:cs="方正粗宋简体"/>
          <w:sz w:val="32"/>
          <w:szCs w:val="32"/>
          <w:lang w:val="en-US" w:eastAsia="zh-CN"/>
        </w:rPr>
      </w:pPr>
      <w:r>
        <w:rPr>
          <w:rFonts w:hint="eastAsia" w:ascii="方正粗宋简体" w:hAnsi="方正粗宋简体" w:eastAsia="方正粗宋简体" w:cs="方正粗宋简体"/>
          <w:sz w:val="32"/>
          <w:szCs w:val="32"/>
          <w:lang w:val="en-US" w:eastAsia="zh-CN"/>
        </w:rPr>
        <w:t>关于2016年部门决算没有“三公经费”支出的说明</w:t>
      </w:r>
    </w:p>
    <w:p>
      <w:pPr>
        <w:jc w:val="center"/>
        <w:rPr>
          <w:rFonts w:hint="eastAsia" w:ascii="方正粗宋简体" w:hAnsi="方正粗宋简体" w:eastAsia="方正粗宋简体" w:cs="方正粗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我委2016年部门决算中没有“三公经费”支出。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特此说明。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洛龙区工业和信息化委员会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2017年9月13日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4D19D8"/>
    <w:rsid w:val="432D6E83"/>
    <w:rsid w:val="4A7844AA"/>
    <w:rsid w:val="4DDF6045"/>
    <w:rsid w:val="59FA08DB"/>
    <w:rsid w:val="7A7970C1"/>
    <w:rsid w:val="7F505F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2017-09-14T07:39:39Z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