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hAnsi="黑体" w:eastAsia="仿宋_GB2312"/>
          <w:sz w:val="44"/>
          <w:szCs w:val="44"/>
        </w:rPr>
      </w:pPr>
      <w:r>
        <w:rPr>
          <w:rFonts w:hint="eastAsia" w:ascii="仿宋_GB2312" w:hAnsi="黑体" w:eastAsia="仿宋_GB2312"/>
          <w:sz w:val="44"/>
          <w:szCs w:val="44"/>
        </w:rPr>
        <w:t>洛龙区种子管理站概况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管理种子，促进农业发展。农作物新品种区域实验，质量管理，执法体系指导，农作物种子生产、经营许可。</w:t>
      </w:r>
    </w:p>
    <w:p>
      <w:pPr>
        <w:pStyle w:val="2"/>
        <w:kinsoku w:val="0"/>
        <w:overflowPunct w:val="0"/>
        <w:snapToGrid w:val="0"/>
        <w:spacing w:line="360" w:lineRule="auto"/>
        <w:ind w:left="122" w:leftChars="58" w:right="118" w:firstLine="518" w:firstLineChars="162"/>
        <w:rPr>
          <w:rFonts w:hint="eastAsia"/>
          <w:spacing w:val="-1"/>
        </w:rPr>
      </w:pPr>
      <w:r>
        <w:rPr>
          <w:rFonts w:hint="eastAsia" w:hAnsi="宋体" w:cs="Courier New"/>
        </w:rPr>
        <w:t>洛龙区</w:t>
      </w:r>
      <w:r>
        <w:rPr>
          <w:rFonts w:hint="eastAsia" w:hAnsi="黑体"/>
        </w:rPr>
        <w:t>种子管理</w:t>
      </w:r>
      <w:r>
        <w:rPr>
          <w:rFonts w:hint="eastAsia" w:hAnsi="宋体" w:cs="Courier New"/>
        </w:rPr>
        <w:t>站属于事业单位决算。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Calibri" w:eastAsia="方正小标宋简体" w:cs="Calibri"/>
          <w:color w:val="1C1C1C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63CF7"/>
    <w:rsid w:val="7D2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hAnsi="Times New Roman" w:eastAsia="仿宋_GB2312"/>
      <w:sz w:val="32"/>
      <w:szCs w:val="32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2017-09-14T07:33:12Z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