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jc w:val="center"/>
        <w:outlineLvl w:val="0"/>
        <w:rPr>
          <w:rFonts w:ascii="黑体" w:hAnsi="黑体" w:eastAsia="黑体" w:cs="黑体"/>
          <w:spacing w:val="8"/>
          <w:sz w:val="36"/>
          <w:szCs w:val="36"/>
        </w:rPr>
      </w:pPr>
      <w:r>
        <w:rPr>
          <w:rFonts w:ascii="Times New Roman" w:hAnsi="Times New Roman" w:eastAsia="Times New Roman" w:cs="Times New Roman"/>
          <w:spacing w:val="8"/>
          <w:sz w:val="36"/>
          <w:szCs w:val="36"/>
        </w:rPr>
        <w:t>2022</w:t>
      </w:r>
      <w:r>
        <w:rPr>
          <w:rFonts w:ascii="黑体" w:hAnsi="黑体" w:eastAsia="黑体" w:cs="黑体"/>
          <w:spacing w:val="8"/>
          <w:sz w:val="36"/>
          <w:szCs w:val="36"/>
        </w:rPr>
        <w:t>年洛龙区</w:t>
      </w:r>
      <w:r>
        <w:rPr>
          <w:rFonts w:hint="eastAsia" w:ascii="黑体" w:hAnsi="黑体" w:eastAsia="黑体" w:cs="黑体"/>
          <w:spacing w:val="8"/>
          <w:sz w:val="36"/>
          <w:szCs w:val="36"/>
          <w:lang w:eastAsia="zh-CN"/>
        </w:rPr>
        <w:t>古城街道办事处</w:t>
      </w:r>
      <w:r>
        <w:rPr>
          <w:rFonts w:ascii="黑体" w:hAnsi="黑体" w:eastAsia="黑体" w:cs="黑体"/>
          <w:spacing w:val="8"/>
          <w:sz w:val="36"/>
          <w:szCs w:val="36"/>
        </w:rPr>
        <w:t>（本级</w:t>
      </w:r>
      <w:r>
        <w:rPr>
          <w:rFonts w:hint="eastAsia" w:ascii="黑体" w:hAnsi="黑体" w:eastAsia="黑体" w:cs="黑体"/>
          <w:spacing w:val="8"/>
          <w:sz w:val="36"/>
          <w:szCs w:val="36"/>
          <w:lang w:eastAsia="zh-CN"/>
        </w:rPr>
        <w:t>）</w:t>
      </w:r>
      <w:r>
        <w:rPr>
          <w:rFonts w:ascii="黑体" w:hAnsi="黑体" w:eastAsia="黑体" w:cs="黑体"/>
          <w:spacing w:val="8"/>
          <w:sz w:val="36"/>
          <w:szCs w:val="36"/>
        </w:rPr>
        <w:t>预算说明</w:t>
      </w:r>
    </w:p>
    <w:p>
      <w:pPr>
        <w:spacing w:before="140" w:line="225" w:lineRule="auto"/>
        <w:jc w:val="center"/>
        <w:outlineLvl w:val="0"/>
        <w:rPr>
          <w:rFonts w:ascii="黑体" w:hAnsi="黑体" w:eastAsia="黑体" w:cs="黑体"/>
          <w:spacing w:val="8"/>
          <w:sz w:val="36"/>
          <w:szCs w:val="36"/>
        </w:rPr>
      </w:pPr>
    </w:p>
    <w:p>
      <w:pPr>
        <w:spacing w:before="114" w:line="635" w:lineRule="exact"/>
        <w:ind w:left="3834"/>
        <w:rPr>
          <w:rFonts w:ascii="黑体" w:hAnsi="黑体" w:eastAsia="黑体" w:cs="黑体"/>
          <w:sz w:val="35"/>
          <w:szCs w:val="35"/>
        </w:rPr>
      </w:pPr>
      <w:r>
        <w:rPr>
          <w:rFonts w:ascii="黑体" w:hAnsi="黑体" w:eastAsia="黑体" w:cs="黑体"/>
          <w:spacing w:val="-25"/>
          <w:position w:val="21"/>
          <w:sz w:val="35"/>
          <w:szCs w:val="35"/>
        </w:rPr>
        <w:t>目</w:t>
      </w:r>
      <w:r>
        <w:rPr>
          <w:rFonts w:ascii="黑体" w:hAnsi="黑体" w:eastAsia="黑体" w:cs="黑体"/>
          <w:spacing w:val="21"/>
          <w:position w:val="21"/>
          <w:sz w:val="35"/>
          <w:szCs w:val="35"/>
        </w:rPr>
        <w:t xml:space="preserve"> </w:t>
      </w:r>
      <w:r>
        <w:rPr>
          <w:rFonts w:ascii="黑体" w:hAnsi="黑体" w:eastAsia="黑体" w:cs="黑体"/>
          <w:spacing w:val="-25"/>
          <w:position w:val="21"/>
          <w:sz w:val="35"/>
          <w:szCs w:val="35"/>
        </w:rPr>
        <w:t>录</w:t>
      </w:r>
    </w:p>
    <w:p>
      <w:pPr>
        <w:spacing w:line="226" w:lineRule="auto"/>
        <w:ind w:left="233"/>
        <w:rPr>
          <w:rFonts w:ascii="黑体" w:hAnsi="黑体" w:eastAsia="黑体" w:cs="黑体"/>
          <w:sz w:val="31"/>
          <w:szCs w:val="31"/>
        </w:rPr>
      </w:pPr>
      <w:r>
        <w:rPr>
          <w:rFonts w:ascii="黑体" w:hAnsi="黑体" w:eastAsia="黑体" w:cs="黑体"/>
          <w:spacing w:val="8"/>
          <w:sz w:val="31"/>
          <w:szCs w:val="31"/>
        </w:rPr>
        <w:t>第一部分 洛龙区</w:t>
      </w:r>
      <w:r>
        <w:rPr>
          <w:rFonts w:hint="eastAsia" w:ascii="黑体" w:hAnsi="黑体" w:eastAsia="黑体" w:cs="黑体"/>
          <w:spacing w:val="8"/>
          <w:sz w:val="31"/>
          <w:szCs w:val="31"/>
          <w:lang w:eastAsia="zh-CN"/>
        </w:rPr>
        <w:t>古城街道办事处</w:t>
      </w:r>
      <w:r>
        <w:rPr>
          <w:rFonts w:ascii="黑体" w:hAnsi="黑体" w:eastAsia="黑体" w:cs="黑体"/>
          <w:spacing w:val="8"/>
          <w:sz w:val="31"/>
          <w:szCs w:val="31"/>
        </w:rPr>
        <w:t>政府概况</w:t>
      </w:r>
    </w:p>
    <w:p>
      <w:pPr>
        <w:pStyle w:val="2"/>
        <w:spacing w:before="219" w:line="230" w:lineRule="auto"/>
        <w:ind w:left="789"/>
      </w:pPr>
      <w:r>
        <w:rPr>
          <w:spacing w:val="5"/>
        </w:rPr>
        <w:t>一、主要职责</w:t>
      </w:r>
    </w:p>
    <w:p>
      <w:pPr>
        <w:pStyle w:val="2"/>
        <w:spacing w:before="214" w:line="226" w:lineRule="auto"/>
        <w:ind w:left="794"/>
      </w:pPr>
      <w:r>
        <w:rPr>
          <w:spacing w:val="7"/>
        </w:rPr>
        <w:t>二、部门所属预算单位构成情况</w:t>
      </w:r>
    </w:p>
    <w:p>
      <w:pPr>
        <w:spacing w:before="220" w:line="600" w:lineRule="exact"/>
        <w:ind w:left="135"/>
        <w:rPr>
          <w:rFonts w:ascii="黑体" w:hAnsi="黑体" w:eastAsia="黑体" w:cs="黑体"/>
          <w:sz w:val="31"/>
          <w:szCs w:val="31"/>
        </w:rPr>
      </w:pPr>
      <w:r>
        <w:rPr>
          <w:rFonts w:ascii="黑体" w:hAnsi="黑体" w:eastAsia="黑体" w:cs="黑体"/>
          <w:spacing w:val="8"/>
          <w:position w:val="21"/>
          <w:sz w:val="31"/>
          <w:szCs w:val="31"/>
        </w:rPr>
        <w:t xml:space="preserve">第二部分 </w:t>
      </w:r>
      <w:r>
        <w:rPr>
          <w:rFonts w:ascii="Times New Roman" w:hAnsi="Times New Roman" w:eastAsia="Times New Roman" w:cs="Times New Roman"/>
          <w:spacing w:val="8"/>
          <w:position w:val="21"/>
          <w:sz w:val="31"/>
          <w:szCs w:val="31"/>
        </w:rPr>
        <w:t xml:space="preserve">2022 </w:t>
      </w:r>
      <w:r>
        <w:rPr>
          <w:rFonts w:ascii="黑体" w:hAnsi="黑体" w:eastAsia="黑体" w:cs="黑体"/>
          <w:spacing w:val="8"/>
          <w:position w:val="21"/>
          <w:sz w:val="31"/>
          <w:szCs w:val="31"/>
        </w:rPr>
        <w:t>年洛龙区</w:t>
      </w:r>
      <w:r>
        <w:rPr>
          <w:rFonts w:hint="eastAsia" w:ascii="黑体" w:hAnsi="黑体" w:eastAsia="黑体" w:cs="黑体"/>
          <w:spacing w:val="8"/>
          <w:position w:val="21"/>
          <w:sz w:val="31"/>
          <w:szCs w:val="31"/>
          <w:lang w:eastAsia="zh-CN"/>
        </w:rPr>
        <w:t>古城街道办事处</w:t>
      </w:r>
      <w:r>
        <w:rPr>
          <w:rFonts w:ascii="黑体" w:hAnsi="黑体" w:eastAsia="黑体" w:cs="黑体"/>
          <w:spacing w:val="8"/>
          <w:position w:val="21"/>
          <w:sz w:val="31"/>
          <w:szCs w:val="31"/>
        </w:rPr>
        <w:t>预算情况说明</w:t>
      </w:r>
    </w:p>
    <w:p>
      <w:pPr>
        <w:spacing w:line="227" w:lineRule="auto"/>
        <w:ind w:left="135"/>
        <w:rPr>
          <w:rFonts w:ascii="黑体" w:hAnsi="黑体" w:eastAsia="黑体" w:cs="黑体"/>
          <w:sz w:val="31"/>
          <w:szCs w:val="31"/>
        </w:rPr>
      </w:pPr>
      <w:r>
        <w:rPr>
          <w:rFonts w:ascii="黑体" w:hAnsi="黑体" w:eastAsia="黑体" w:cs="黑体"/>
          <w:spacing w:val="6"/>
          <w:sz w:val="31"/>
          <w:szCs w:val="31"/>
        </w:rPr>
        <w:t>第三部分</w:t>
      </w:r>
      <w:r>
        <w:rPr>
          <w:rFonts w:ascii="黑体" w:hAnsi="黑体" w:eastAsia="黑体" w:cs="黑体"/>
          <w:spacing w:val="-40"/>
          <w:sz w:val="31"/>
          <w:szCs w:val="31"/>
        </w:rPr>
        <w:t xml:space="preserve"> </w:t>
      </w:r>
      <w:r>
        <w:rPr>
          <w:rFonts w:ascii="黑体" w:hAnsi="黑体" w:eastAsia="黑体" w:cs="黑体"/>
          <w:spacing w:val="6"/>
          <w:sz w:val="31"/>
          <w:szCs w:val="31"/>
        </w:rPr>
        <w:t>名词解释</w:t>
      </w:r>
    </w:p>
    <w:p>
      <w:pPr>
        <w:spacing w:before="220" w:line="226" w:lineRule="auto"/>
        <w:ind w:left="152"/>
        <w:rPr>
          <w:rFonts w:ascii="黑体" w:hAnsi="黑体" w:eastAsia="黑体" w:cs="黑体"/>
          <w:sz w:val="31"/>
          <w:szCs w:val="31"/>
        </w:rPr>
      </w:pPr>
      <w:r>
        <w:rPr>
          <w:rFonts w:ascii="黑体" w:hAnsi="黑体" w:eastAsia="黑体" w:cs="黑体"/>
          <w:spacing w:val="7"/>
          <w:sz w:val="31"/>
          <w:szCs w:val="31"/>
        </w:rPr>
        <w:t>附件：</w:t>
      </w:r>
      <w:r>
        <w:rPr>
          <w:rFonts w:ascii="Times New Roman" w:hAnsi="Times New Roman" w:eastAsia="Times New Roman" w:cs="Times New Roman"/>
          <w:spacing w:val="7"/>
          <w:sz w:val="31"/>
          <w:szCs w:val="31"/>
        </w:rPr>
        <w:t xml:space="preserve">2022 </w:t>
      </w:r>
      <w:r>
        <w:rPr>
          <w:rFonts w:ascii="黑体" w:hAnsi="黑体" w:eastAsia="黑体" w:cs="黑体"/>
          <w:spacing w:val="7"/>
          <w:sz w:val="31"/>
          <w:szCs w:val="31"/>
        </w:rPr>
        <w:t>年洛龙区</w:t>
      </w:r>
      <w:r>
        <w:rPr>
          <w:rFonts w:hint="eastAsia" w:ascii="黑体" w:hAnsi="黑体" w:eastAsia="黑体" w:cs="黑体"/>
          <w:spacing w:val="7"/>
          <w:sz w:val="31"/>
          <w:szCs w:val="31"/>
          <w:lang w:eastAsia="zh-CN"/>
        </w:rPr>
        <w:t>古城街道办事处</w:t>
      </w:r>
      <w:r>
        <w:rPr>
          <w:rFonts w:ascii="黑体" w:hAnsi="黑体" w:eastAsia="黑体" w:cs="黑体"/>
          <w:spacing w:val="7"/>
          <w:sz w:val="31"/>
          <w:szCs w:val="31"/>
        </w:rPr>
        <w:t>预算表</w:t>
      </w:r>
    </w:p>
    <w:p>
      <w:pPr>
        <w:pStyle w:val="2"/>
        <w:spacing w:before="220" w:line="600" w:lineRule="exact"/>
        <w:ind w:left="789"/>
      </w:pPr>
      <w:r>
        <w:rPr>
          <w:spacing w:val="6"/>
          <w:position w:val="21"/>
        </w:rPr>
        <w:t>一、单位收支预算表</w:t>
      </w:r>
    </w:p>
    <w:p>
      <w:pPr>
        <w:pStyle w:val="2"/>
        <w:spacing w:line="226" w:lineRule="auto"/>
        <w:ind w:left="794"/>
      </w:pPr>
      <w:r>
        <w:rPr>
          <w:spacing w:val="6"/>
        </w:rPr>
        <w:t>二、单位收入预算表</w:t>
      </w:r>
    </w:p>
    <w:p>
      <w:pPr>
        <w:pStyle w:val="2"/>
        <w:spacing w:before="221" w:line="226" w:lineRule="auto"/>
        <w:ind w:left="793"/>
      </w:pPr>
      <w:r>
        <w:rPr>
          <w:spacing w:val="6"/>
        </w:rPr>
        <w:t>三、单位支出预算表</w:t>
      </w:r>
    </w:p>
    <w:p>
      <w:pPr>
        <w:pStyle w:val="2"/>
        <w:spacing w:before="220" w:line="227" w:lineRule="auto"/>
        <w:ind w:left="822"/>
      </w:pPr>
      <w:r>
        <w:rPr>
          <w:spacing w:val="4"/>
        </w:rPr>
        <w:t>四、财政拨款收支预算表</w:t>
      </w:r>
    </w:p>
    <w:p>
      <w:pPr>
        <w:pStyle w:val="2"/>
        <w:spacing w:before="219" w:line="227" w:lineRule="auto"/>
        <w:ind w:left="789"/>
      </w:pPr>
      <w:r>
        <w:rPr>
          <w:spacing w:val="7"/>
        </w:rPr>
        <w:t>五、一般公共预算支出预算表</w:t>
      </w:r>
    </w:p>
    <w:p>
      <w:pPr>
        <w:pStyle w:val="2"/>
        <w:spacing w:before="218" w:line="600" w:lineRule="exact"/>
        <w:ind w:left="787"/>
      </w:pPr>
      <w:r>
        <w:rPr>
          <w:spacing w:val="8"/>
          <w:position w:val="21"/>
        </w:rPr>
        <w:t>六、一般公共预算基本支出预算表</w:t>
      </w:r>
    </w:p>
    <w:p>
      <w:pPr>
        <w:pStyle w:val="2"/>
        <w:spacing w:before="1" w:line="226" w:lineRule="auto"/>
        <w:ind w:left="790"/>
      </w:pPr>
      <w:r>
        <w:rPr>
          <w:spacing w:val="7"/>
        </w:rPr>
        <w:t>七、支出经济分类汇总表</w:t>
      </w:r>
    </w:p>
    <w:p>
      <w:pPr>
        <w:pStyle w:val="2"/>
        <w:spacing w:before="220" w:line="600" w:lineRule="exact"/>
        <w:ind w:left="783"/>
      </w:pPr>
      <w:r>
        <w:rPr>
          <w:spacing w:val="4"/>
          <w:position w:val="21"/>
        </w:rPr>
        <w:t>八、一般公共预算</w:t>
      </w:r>
      <w:r>
        <w:rPr>
          <w:rFonts w:ascii="Times New Roman" w:hAnsi="Times New Roman" w:eastAsia="Times New Roman" w:cs="Times New Roman"/>
          <w:spacing w:val="4"/>
          <w:position w:val="21"/>
        </w:rPr>
        <w:t>“</w:t>
      </w:r>
      <w:r>
        <w:rPr>
          <w:rFonts w:ascii="Times New Roman" w:hAnsi="Times New Roman" w:eastAsia="Times New Roman" w:cs="Times New Roman"/>
          <w:spacing w:val="-33"/>
          <w:position w:val="21"/>
        </w:rPr>
        <w:t xml:space="preserve"> </w:t>
      </w:r>
      <w:r>
        <w:rPr>
          <w:spacing w:val="4"/>
          <w:position w:val="21"/>
        </w:rPr>
        <w:t>三公</w:t>
      </w:r>
      <w:r>
        <w:rPr>
          <w:rFonts w:ascii="Times New Roman" w:hAnsi="Times New Roman" w:eastAsia="Times New Roman" w:cs="Times New Roman"/>
          <w:spacing w:val="4"/>
          <w:position w:val="21"/>
        </w:rPr>
        <w:t>”</w:t>
      </w:r>
      <w:r>
        <w:rPr>
          <w:rFonts w:ascii="Times New Roman" w:hAnsi="Times New Roman" w:eastAsia="Times New Roman" w:cs="Times New Roman"/>
          <w:spacing w:val="-54"/>
          <w:position w:val="21"/>
        </w:rPr>
        <w:t xml:space="preserve"> </w:t>
      </w:r>
      <w:r>
        <w:rPr>
          <w:spacing w:val="4"/>
          <w:position w:val="21"/>
        </w:rPr>
        <w:t>经费预算表</w:t>
      </w:r>
    </w:p>
    <w:p>
      <w:pPr>
        <w:pStyle w:val="2"/>
        <w:spacing w:before="1" w:line="225" w:lineRule="auto"/>
        <w:ind w:left="796"/>
      </w:pPr>
      <w:r>
        <w:rPr>
          <w:spacing w:val="7"/>
        </w:rPr>
        <w:t>九、政府性基金预算支出预算表</w:t>
      </w:r>
    </w:p>
    <w:p>
      <w:pPr>
        <w:pStyle w:val="2"/>
        <w:spacing w:before="221" w:line="600" w:lineRule="exact"/>
        <w:ind w:left="793"/>
      </w:pPr>
      <w:r>
        <w:rPr>
          <w:spacing w:val="3"/>
          <w:position w:val="21"/>
        </w:rPr>
        <w:t>十、</w:t>
      </w:r>
      <w:r>
        <w:rPr>
          <w:spacing w:val="-82"/>
          <w:position w:val="21"/>
        </w:rPr>
        <w:t xml:space="preserve"> </w:t>
      </w:r>
      <w:r>
        <w:rPr>
          <w:spacing w:val="3"/>
          <w:position w:val="21"/>
        </w:rPr>
        <w:t>国有资本经营预算支出预算表</w:t>
      </w:r>
    </w:p>
    <w:p>
      <w:pPr>
        <w:pStyle w:val="2"/>
        <w:spacing w:line="227" w:lineRule="auto"/>
        <w:ind w:left="793"/>
      </w:pPr>
      <w:r>
        <w:rPr>
          <w:spacing w:val="6"/>
        </w:rPr>
        <w:t>十一、项目支出预算表</w:t>
      </w:r>
    </w:p>
    <w:p>
      <w:pPr>
        <w:pStyle w:val="2"/>
        <w:spacing w:before="219" w:line="226" w:lineRule="auto"/>
        <w:ind w:left="793"/>
      </w:pPr>
      <w:r>
        <w:rPr>
          <w:spacing w:val="7"/>
        </w:rPr>
        <w:t>十二、单位预算项目绩效目标表</w:t>
      </w:r>
    </w:p>
    <w:p>
      <w:pPr>
        <w:spacing w:line="226" w:lineRule="auto"/>
        <w:sectPr>
          <w:footerReference r:id="rId5" w:type="default"/>
          <w:pgSz w:w="11906" w:h="16839"/>
          <w:pgMar w:top="1431" w:right="1718" w:bottom="1127" w:left="1727" w:header="0" w:footer="848" w:gutter="0"/>
          <w:cols w:space="720" w:num="1"/>
        </w:sectPr>
      </w:pPr>
    </w:p>
    <w:p>
      <w:pPr>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第一部分</w:t>
      </w:r>
    </w:p>
    <w:p>
      <w:pPr>
        <w:adjustRightInd w:val="0"/>
        <w:snapToGrid w:val="0"/>
        <w:spacing w:line="600" w:lineRule="exact"/>
        <w:jc w:val="center"/>
        <w:rPr>
          <w:rFonts w:ascii="Times New Roman" w:hAnsi="Times New Roman" w:eastAsia="黑体"/>
          <w:sz w:val="36"/>
          <w:szCs w:val="36"/>
        </w:rPr>
      </w:pPr>
      <w:r>
        <w:rPr>
          <w:rFonts w:hint="eastAsia" w:ascii="Times New Roman" w:hAnsi="Times New Roman" w:eastAsia="黑体"/>
          <w:sz w:val="36"/>
          <w:szCs w:val="36"/>
        </w:rPr>
        <w:t>洛龙区古城街道办事处</w:t>
      </w:r>
      <w:r>
        <w:rPr>
          <w:rFonts w:ascii="Times New Roman" w:hAnsi="Times New Roman" w:eastAsia="黑体"/>
          <w:sz w:val="36"/>
          <w:szCs w:val="36"/>
        </w:rPr>
        <w:t>概况</w:t>
      </w: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洛龙区古城街道办事处</w:t>
      </w:r>
      <w:r>
        <w:rPr>
          <w:rFonts w:ascii="Times New Roman" w:hAnsi="Times New Roman" w:eastAsia="黑体"/>
          <w:sz w:val="32"/>
          <w:szCs w:val="32"/>
        </w:rPr>
        <w:t>主要职责</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一)认真贯彻党的路线、方针、政策和国家的法律法规;执行上级党委、政府的决议、决定、命令;研究决定加强党的建设、推进区域发展、组织公共服务、实施综合管理、指导基层自治、维护安全稳定、动员社会参与等方面的重大问题;抓好决策部署的组织实施和督促落实。</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(二)落实党建工作责任制，做好纪检监察、组织、宣传、统战、政法工作，领导工会、共青团、妇联等群团工作。</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三)加强党的基层组织建设，抓好社区党建，统筹协调辖区内各领域党建工作,整合调动各类党建资源,强化“龙头”带动，充分发挥街道、社区党组织的领导核心作用和党员先锋模范作用;加强党员队伍建设，抓好党员教育工作。</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(四)负责辖区内民族宗教、民政、退役军人、人力资源、社会保障、教育、科技、文化旅游、体育、卫生健康、扶贫开发、人民武装等行政工作，促进社会事业发展。</w:t>
      </w:r>
    </w:p>
    <w:p>
      <w:pPr>
        <w:kinsoku w:val="0"/>
        <w:overflowPunct w:val="0"/>
        <w:autoSpaceDE w:val="0"/>
        <w:autoSpaceDN w:val="0"/>
        <w:adjustRightInd w:val="0"/>
        <w:snapToGrid w:val="0"/>
        <w:spacing w:line="600" w:lineRule="exact"/>
        <w:ind w:right="119" w:firstLine="640" w:firstLineChars="200"/>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(五)承担辖区内平安建设、社会治安综合治理、公共安</w:t>
      </w:r>
    </w:p>
    <w:p>
      <w:pPr>
        <w:kinsoku w:val="0"/>
        <w:overflowPunct w:val="0"/>
        <w:autoSpaceDE w:val="0"/>
        <w:autoSpaceDN w:val="0"/>
        <w:adjustRightInd w:val="0"/>
        <w:snapToGrid w:val="0"/>
        <w:spacing w:line="600" w:lineRule="exact"/>
        <w:ind w:right="119"/>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全、司法行政等有关工作。负责辖区内人口管理、社会管理等与社会发展相关的行政工作。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(六)抓好精神文明建设。落实上级意识形态工作政策和措施，负责辖区内公共文化建设，加强社会主义核心价值观的宣传引导，负责组织群众性文化体育活动，组织开展各项创建工作。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七)负责辖区内基层组织建设。加强基层民主法制建设，指导、支持和帮助辖区内居民委员会等基层群众性自治组织建设，健全自治平台;负责社区建设与管理;负责对辖区内物业服务进行日常监督;协助组织成立业主委员会等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(八)服务辖区经济发展。负责采集辖区内企业信息、促进项目发展、服务驻区企业、优化投资环境等工作;负责街道财政管理工作;做好村级财务内审监督工作;配合辖区内的征迁改造及项目建设工作。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(九)贯彻落实国家生态环境法律、法规、政策;负责辖区内的生态环境保护相关工作。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(十)贯彻落实国家应急和安全生产法律、法规、政策;做好辖区内的应急和安全生产监管、安全隐患排查、应急救援、消防安全和食品安全监管工作。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(十一)负责统筹协调、组织指挥辖区内派驻和基层执法力量开展综合执法工作;牵头建立综合行政执法平台。</w:t>
      </w:r>
    </w:p>
    <w:p>
      <w:pPr>
        <w:kinsoku w:val="0"/>
        <w:overflowPunct w:val="0"/>
        <w:autoSpaceDE w:val="0"/>
        <w:autoSpaceDN w:val="0"/>
        <w:adjustRightInd w:val="0"/>
        <w:snapToGrid w:val="0"/>
        <w:spacing w:line="600" w:lineRule="exact"/>
        <w:ind w:right="119" w:firstLine="640" w:firstLineChars="200"/>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二</w:t>
      </w:r>
      <w:r>
        <w:rPr>
          <w:rFonts w:ascii="仿宋" w:hAnsi="仿宋" w:eastAsia="仿宋" w:cs="仿宋"/>
          <w:snapToGrid w:val="0"/>
          <w:color w:val="000000"/>
          <w:spacing w:val="5"/>
          <w:kern w:val="0"/>
          <w:sz w:val="31"/>
          <w:szCs w:val="31"/>
          <w:lang w:val="en-US" w:eastAsia="en-US" w:bidi="ar-SA"/>
        </w:rPr>
        <w:t>)负责机关及所属事业单位内部建设相关工作做好本街道干部职工的教育、培训、考核和监督工作。做好上级派驻本街道机构负责人的工作情况考核评价工作</w:t>
      </w:r>
      <w:r>
        <w:rPr>
          <w:rFonts w:hint="eastAsia" w:ascii="仿宋" w:hAnsi="仿宋" w:eastAsia="仿宋" w:cs="仿宋"/>
          <w:snapToGrid w:val="0"/>
          <w:color w:val="000000"/>
          <w:spacing w:val="5"/>
          <w:kern w:val="0"/>
          <w:sz w:val="31"/>
          <w:szCs w:val="31"/>
          <w:lang w:val="en-US" w:eastAsia="en-US" w:bidi="ar-SA"/>
        </w:rPr>
        <w:t>。</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三</w:t>
      </w:r>
      <w:r>
        <w:rPr>
          <w:rFonts w:ascii="仿宋" w:hAnsi="仿宋" w:eastAsia="仿宋" w:cs="仿宋"/>
          <w:snapToGrid w:val="0"/>
          <w:color w:val="000000"/>
          <w:spacing w:val="5"/>
          <w:kern w:val="0"/>
          <w:sz w:val="31"/>
          <w:szCs w:val="31"/>
          <w:lang w:val="en-US" w:eastAsia="en-US" w:bidi="ar-SA"/>
        </w:rPr>
        <w:t>)做好人大、政协相关辅助性工作</w:t>
      </w:r>
      <w:r>
        <w:rPr>
          <w:rFonts w:hint="eastAsia" w:ascii="仿宋" w:hAnsi="仿宋" w:eastAsia="仿宋" w:cs="仿宋"/>
          <w:snapToGrid w:val="0"/>
          <w:color w:val="000000"/>
          <w:spacing w:val="5"/>
          <w:kern w:val="0"/>
          <w:sz w:val="31"/>
          <w:szCs w:val="31"/>
          <w:lang w:val="en-US" w:eastAsia="en-US" w:bidi="ar-SA"/>
        </w:rPr>
        <w:t>。</w:t>
      </w:r>
    </w:p>
    <w:p>
      <w:pPr>
        <w:kinsoku w:val="0"/>
        <w:overflowPunct w:val="0"/>
        <w:autoSpaceDE w:val="0"/>
        <w:autoSpaceDN w:val="0"/>
        <w:adjustRightInd w:val="0"/>
        <w:snapToGrid w:val="0"/>
        <w:spacing w:line="600" w:lineRule="exact"/>
        <w:ind w:right="119" w:firstLine="640" w:firstLineChars="200"/>
        <w:jc w:val="left"/>
        <w:rPr>
          <w:rFonts w:hint="eastAsia"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四</w:t>
      </w:r>
      <w:r>
        <w:rPr>
          <w:rFonts w:ascii="仿宋" w:hAnsi="仿宋" w:eastAsia="仿宋" w:cs="仿宋"/>
          <w:snapToGrid w:val="0"/>
          <w:color w:val="000000"/>
          <w:spacing w:val="5"/>
          <w:kern w:val="0"/>
          <w:sz w:val="31"/>
          <w:szCs w:val="31"/>
          <w:lang w:val="en-US" w:eastAsia="en-US" w:bidi="ar-SA"/>
        </w:rPr>
        <w:t>)完成区委、区政府交办的其他任务</w:t>
      </w:r>
      <w:r>
        <w:rPr>
          <w:rFonts w:hint="eastAsia" w:ascii="仿宋" w:hAnsi="仿宋" w:eastAsia="仿宋" w:cs="仿宋"/>
          <w:snapToGrid w:val="0"/>
          <w:color w:val="000000"/>
          <w:spacing w:val="5"/>
          <w:kern w:val="0"/>
          <w:sz w:val="31"/>
          <w:szCs w:val="31"/>
          <w:lang w:val="en-US" w:eastAsia="en-US" w:bidi="ar-SA"/>
        </w:rPr>
        <w:t>。</w:t>
      </w:r>
    </w:p>
    <w:p>
      <w:pPr>
        <w:adjustRightInd w:val="0"/>
        <w:snapToGrid w:val="0"/>
        <w:spacing w:line="600" w:lineRule="exact"/>
        <w:ind w:firstLine="640" w:firstLineChars="20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二、洛龙区古城街道办事处预算单位构成情况</w:t>
      </w:r>
    </w:p>
    <w:p>
      <w:pPr>
        <w:kinsoku w:val="0"/>
        <w:overflowPunct w:val="0"/>
        <w:autoSpaceDE w:val="0"/>
        <w:autoSpaceDN w:val="0"/>
        <w:adjustRightInd w:val="0"/>
        <w:snapToGrid w:val="0"/>
        <w:spacing w:line="600" w:lineRule="exact"/>
        <w:ind w:right="119" w:firstLine="640" w:firstLineChars="200"/>
        <w:jc w:val="left"/>
        <w:rPr>
          <w:rFonts w:hint="eastAsia"/>
          <w:lang w:val="en-US" w:eastAsia="zh-CN"/>
        </w:rPr>
      </w:pPr>
      <w:r>
        <w:rPr>
          <w:rFonts w:hint="eastAsia" w:ascii="仿宋" w:hAnsi="仿宋" w:eastAsia="仿宋" w:cs="仿宋"/>
          <w:snapToGrid w:val="0"/>
          <w:color w:val="000000"/>
          <w:spacing w:val="5"/>
          <w:kern w:val="0"/>
          <w:sz w:val="31"/>
          <w:szCs w:val="31"/>
          <w:lang w:val="en-US" w:eastAsia="zh-CN" w:bidi="ar-SA"/>
        </w:rPr>
        <w:t>本预算为洛龙区古城街道办事处本级预算，包括单位党政综合便民服务中心、产业发展服务中心、社区建设服务中心、社会治安综合治理中心、社会事务办公室的预算。</w:t>
      </w: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第二部分</w:t>
      </w:r>
    </w:p>
    <w:p>
      <w:pPr>
        <w:adjustRightInd w:val="0"/>
        <w:snapToGrid w:val="0"/>
        <w:spacing w:line="600" w:lineRule="exact"/>
        <w:jc w:val="center"/>
        <w:rPr>
          <w:rFonts w:ascii="Times New Roman" w:hAnsi="Times New Roman" w:eastAsia="黑体"/>
          <w:sz w:val="32"/>
          <w:szCs w:val="32"/>
        </w:rPr>
      </w:pPr>
      <w:r>
        <w:rPr>
          <w:rFonts w:hint="eastAsia" w:ascii="Times New Roman" w:hAnsi="Times New Roman" w:eastAsia="黑体"/>
          <w:sz w:val="32"/>
          <w:szCs w:val="32"/>
        </w:rPr>
        <w:t>洛龙区古城街道办事处</w:t>
      </w:r>
      <w:r>
        <w:rPr>
          <w:rFonts w:ascii="Times New Roman" w:hAnsi="Times New Roman" w:eastAsia="黑体"/>
          <w:sz w:val="32"/>
          <w:szCs w:val="32"/>
        </w:rPr>
        <w:t>2022年部门预算情况说明</w:t>
      </w:r>
    </w:p>
    <w:p>
      <w:pPr>
        <w:tabs>
          <w:tab w:val="left" w:pos="663"/>
        </w:tabs>
        <w:bidi w:val="0"/>
        <w:jc w:val="left"/>
        <w:rPr>
          <w:rFonts w:hint="eastAsia"/>
          <w:lang w:val="en-US" w:eastAsia="zh-CN"/>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2022年收入总计</w:t>
      </w:r>
      <w:bookmarkStart w:id="0" w:name="_Hlk103760782"/>
      <w:r>
        <w:rPr>
          <w:rFonts w:ascii="Times New Roman" w:hAnsi="Times New Roman" w:eastAsia="仿宋_GB2312"/>
          <w:sz w:val="32"/>
          <w:szCs w:val="32"/>
        </w:rPr>
        <w:t>1391.29</w:t>
      </w:r>
      <w:bookmarkEnd w:id="0"/>
      <w:r>
        <w:rPr>
          <w:rFonts w:ascii="Times New Roman" w:hAnsi="Times New Roman" w:eastAsia="仿宋_GB2312"/>
          <w:sz w:val="32"/>
          <w:szCs w:val="32"/>
        </w:rPr>
        <w:t>万元，支出总计1391.29万元，与2021年预算相比，收入</w:t>
      </w:r>
      <w:r>
        <w:rPr>
          <w:rFonts w:hint="eastAsia" w:ascii="Times New Roman" w:hAnsi="Times New Roman" w:eastAsia="仿宋_GB2312"/>
          <w:sz w:val="32"/>
          <w:szCs w:val="32"/>
        </w:rPr>
        <w:t>、支出各</w:t>
      </w:r>
      <w:r>
        <w:rPr>
          <w:rFonts w:ascii="Times New Roman" w:hAnsi="Times New Roman" w:eastAsia="仿宋_GB2312"/>
          <w:sz w:val="32"/>
          <w:szCs w:val="32"/>
        </w:rPr>
        <w:t>减少275.78万元。主要原因：</w:t>
      </w:r>
      <w:r>
        <w:rPr>
          <w:rFonts w:hint="eastAsia" w:ascii="Times New Roman" w:hAnsi="Times New Roman" w:eastAsia="仿宋_GB2312"/>
          <w:sz w:val="32"/>
          <w:szCs w:val="32"/>
        </w:rPr>
        <w:t>按照统一要求，一般性支出项目经费压缩</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2022年收入合计1391.29万元，其中：一般公共预算1391.29万元;政府性基金收入</w:t>
      </w:r>
      <w:r>
        <w:rPr>
          <w:rFonts w:hint="eastAsia" w:ascii="Times New Roman" w:hAnsi="Times New Roman" w:eastAsia="仿宋_GB2312"/>
          <w:sz w:val="32"/>
          <w:szCs w:val="32"/>
        </w:rPr>
        <w:t>0</w:t>
      </w:r>
      <w:r>
        <w:rPr>
          <w:rFonts w:ascii="Times New Roman" w:hAnsi="Times New Roman" w:eastAsia="仿宋_GB2312"/>
          <w:sz w:val="32"/>
          <w:szCs w:val="32"/>
        </w:rPr>
        <w:t>万元；专户管理的教育收费</w:t>
      </w:r>
      <w:r>
        <w:rPr>
          <w:rFonts w:hint="eastAsia" w:ascii="Times New Roman" w:hAnsi="Times New Roman" w:eastAsia="仿宋_GB2312"/>
          <w:sz w:val="32"/>
          <w:szCs w:val="32"/>
        </w:rPr>
        <w:t>0</w:t>
      </w:r>
      <w:r>
        <w:rPr>
          <w:rFonts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2022年支出合计1391.29万元，其中：基本支出552.09万元，占</w:t>
      </w:r>
      <w:r>
        <w:rPr>
          <w:rFonts w:hint="eastAsia" w:ascii="Times New Roman" w:hAnsi="Times New Roman" w:eastAsia="仿宋_GB2312"/>
          <w:sz w:val="32"/>
          <w:szCs w:val="32"/>
        </w:rPr>
        <w:t>3</w:t>
      </w:r>
      <w:r>
        <w:rPr>
          <w:rFonts w:ascii="Times New Roman" w:hAnsi="Times New Roman" w:eastAsia="仿宋_GB2312"/>
          <w:sz w:val="32"/>
          <w:szCs w:val="32"/>
        </w:rPr>
        <w:t>9.68%；项目支出839.2万元，占60.32%。</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2022年一般公共预算收支预算1391.29万元，政府性基金收支预算</w:t>
      </w:r>
      <w:r>
        <w:rPr>
          <w:rFonts w:hint="eastAsia" w:ascii="Times New Roman" w:hAnsi="Times New Roman" w:eastAsia="仿宋_GB2312"/>
          <w:sz w:val="32"/>
          <w:szCs w:val="32"/>
        </w:rPr>
        <w:t>0</w:t>
      </w:r>
      <w:r>
        <w:rPr>
          <w:rFonts w:ascii="Times New Roman" w:hAnsi="Times New Roman" w:eastAsia="仿宋_GB2312"/>
          <w:sz w:val="32"/>
          <w:szCs w:val="32"/>
        </w:rPr>
        <w:t>万元。与2021年相比，一般公共预算收支预算减少275.78万元，下降</w:t>
      </w:r>
      <w:r>
        <w:rPr>
          <w:rFonts w:hint="eastAsia" w:ascii="Times New Roman" w:hAnsi="Times New Roman" w:eastAsia="仿宋_GB2312"/>
          <w:sz w:val="32"/>
          <w:szCs w:val="32"/>
        </w:rPr>
        <w:t>1</w:t>
      </w:r>
      <w:r>
        <w:rPr>
          <w:rFonts w:ascii="Times New Roman" w:hAnsi="Times New Roman" w:eastAsia="仿宋_GB2312"/>
          <w:sz w:val="32"/>
          <w:szCs w:val="32"/>
        </w:rPr>
        <w:t>9.82%，主要原因：</w:t>
      </w:r>
      <w:r>
        <w:rPr>
          <w:rFonts w:hint="eastAsia" w:ascii="Times New Roman" w:hAnsi="Times New Roman" w:eastAsia="仿宋_GB2312"/>
          <w:sz w:val="32"/>
          <w:szCs w:val="32"/>
        </w:rPr>
        <w:t>按照统一要求，一般性支出项目经费压缩</w:t>
      </w:r>
      <w:r>
        <w:rPr>
          <w:rFonts w:ascii="Times New Roman" w:hAnsi="Times New Roman" w:eastAsia="仿宋_GB2312"/>
          <w:sz w:val="32"/>
          <w:szCs w:val="32"/>
        </w:rPr>
        <w:t>；政府性基金收支预算增加</w:t>
      </w:r>
      <w:r>
        <w:rPr>
          <w:rFonts w:hint="eastAsia" w:ascii="Times New Roman" w:hAnsi="Times New Roman" w:eastAsia="仿宋_GB2312"/>
          <w:sz w:val="32"/>
          <w:szCs w:val="32"/>
        </w:rPr>
        <w:t>0</w:t>
      </w:r>
      <w:r>
        <w:rPr>
          <w:rFonts w:ascii="Times New Roman" w:hAnsi="Times New Roman" w:eastAsia="仿宋_GB2312"/>
          <w:sz w:val="32"/>
          <w:szCs w:val="32"/>
        </w:rPr>
        <w:t>万元，增长</w:t>
      </w:r>
      <w:r>
        <w:rPr>
          <w:rFonts w:hint="eastAsia" w:ascii="Times New Roman" w:hAnsi="Times New Roman" w:eastAsia="仿宋_GB2312"/>
          <w:sz w:val="32"/>
          <w:szCs w:val="32"/>
        </w:rPr>
        <w:t>0</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2022年一般公共预算支出年初预算为1391.29万元。主要用于以下方面：一般公共服务（类）支出981.24万元，占</w:t>
      </w:r>
      <w:r>
        <w:rPr>
          <w:rFonts w:hint="eastAsia" w:ascii="Times New Roman" w:hAnsi="Times New Roman" w:eastAsia="仿宋_GB2312"/>
          <w:sz w:val="32"/>
          <w:szCs w:val="32"/>
        </w:rPr>
        <w:t>7</w:t>
      </w:r>
      <w:r>
        <w:rPr>
          <w:rFonts w:ascii="Times New Roman" w:hAnsi="Times New Roman" w:eastAsia="仿宋_GB2312"/>
          <w:sz w:val="32"/>
          <w:szCs w:val="32"/>
        </w:rPr>
        <w:t>0.53%；</w:t>
      </w:r>
      <w:r>
        <w:rPr>
          <w:rFonts w:hint="eastAsia" w:ascii="Times New Roman" w:hAnsi="Times New Roman" w:eastAsia="仿宋_GB2312"/>
          <w:sz w:val="32"/>
          <w:szCs w:val="32"/>
        </w:rPr>
        <w:t>公共安全支出4万元，占0.2</w:t>
      </w:r>
      <w:r>
        <w:rPr>
          <w:rFonts w:ascii="Times New Roman" w:hAnsi="Times New Roman" w:eastAsia="仿宋_GB2312"/>
          <w:sz w:val="32"/>
          <w:szCs w:val="32"/>
        </w:rPr>
        <w:t>9</w:t>
      </w:r>
      <w:r>
        <w:rPr>
          <w:rFonts w:hint="eastAsia" w:ascii="Times New Roman" w:hAnsi="Times New Roman" w:eastAsia="仿宋_GB2312"/>
          <w:sz w:val="32"/>
          <w:szCs w:val="32"/>
        </w:rPr>
        <w:t>%；科学技术支出3万元，占0.2</w:t>
      </w:r>
      <w:r>
        <w:rPr>
          <w:rFonts w:ascii="Times New Roman" w:hAnsi="Times New Roman" w:eastAsia="仿宋_GB2312"/>
          <w:sz w:val="32"/>
          <w:szCs w:val="32"/>
        </w:rPr>
        <w:t>2</w:t>
      </w:r>
      <w:r>
        <w:rPr>
          <w:rFonts w:hint="eastAsia" w:ascii="Times New Roman" w:hAnsi="Times New Roman" w:eastAsia="仿宋_GB2312"/>
          <w:sz w:val="32"/>
          <w:szCs w:val="32"/>
        </w:rPr>
        <w:t>%；文化体育与传媒支出20万元，占1.</w:t>
      </w:r>
      <w:r>
        <w:rPr>
          <w:rFonts w:ascii="Times New Roman" w:hAnsi="Times New Roman" w:eastAsia="仿宋_GB2312"/>
          <w:sz w:val="32"/>
          <w:szCs w:val="32"/>
        </w:rPr>
        <w:t>4</w:t>
      </w:r>
      <w:r>
        <w:rPr>
          <w:rFonts w:hint="eastAsia" w:ascii="Times New Roman" w:hAnsi="Times New Roman" w:eastAsia="仿宋_GB2312"/>
          <w:sz w:val="32"/>
          <w:szCs w:val="32"/>
        </w:rPr>
        <w:t>%；社会保障和就业支出17</w:t>
      </w:r>
      <w:r>
        <w:rPr>
          <w:rFonts w:ascii="Times New Roman" w:hAnsi="Times New Roman" w:eastAsia="仿宋_GB2312"/>
          <w:sz w:val="32"/>
          <w:szCs w:val="32"/>
        </w:rPr>
        <w:t>6.49</w:t>
      </w:r>
      <w:r>
        <w:rPr>
          <w:rFonts w:hint="eastAsia" w:ascii="Times New Roman" w:hAnsi="Times New Roman" w:eastAsia="仿宋_GB2312"/>
          <w:sz w:val="32"/>
          <w:szCs w:val="32"/>
        </w:rPr>
        <w:t>.79万元，占1</w:t>
      </w:r>
      <w:r>
        <w:rPr>
          <w:rFonts w:ascii="Times New Roman" w:hAnsi="Times New Roman" w:eastAsia="仿宋_GB2312"/>
          <w:sz w:val="32"/>
          <w:szCs w:val="32"/>
        </w:rPr>
        <w:t>2.69</w:t>
      </w:r>
      <w:r>
        <w:rPr>
          <w:rFonts w:hint="eastAsia" w:ascii="Times New Roman" w:hAnsi="Times New Roman" w:eastAsia="仿宋_GB2312"/>
          <w:sz w:val="32"/>
          <w:szCs w:val="32"/>
        </w:rPr>
        <w:t>%；卫生健康支出4</w:t>
      </w:r>
      <w:r>
        <w:rPr>
          <w:rFonts w:ascii="Times New Roman" w:hAnsi="Times New Roman" w:eastAsia="仿宋_GB2312"/>
          <w:sz w:val="32"/>
          <w:szCs w:val="32"/>
        </w:rPr>
        <w:t>6.66</w:t>
      </w:r>
      <w:r>
        <w:rPr>
          <w:rFonts w:hint="eastAsia" w:ascii="Times New Roman" w:hAnsi="Times New Roman" w:eastAsia="仿宋_GB2312"/>
          <w:sz w:val="32"/>
          <w:szCs w:val="32"/>
        </w:rPr>
        <w:t>万元，占</w:t>
      </w:r>
      <w:r>
        <w:rPr>
          <w:rFonts w:ascii="Times New Roman" w:hAnsi="Times New Roman" w:eastAsia="仿宋_GB2312"/>
          <w:sz w:val="32"/>
          <w:szCs w:val="32"/>
        </w:rPr>
        <w:t>3.35</w:t>
      </w:r>
      <w:r>
        <w:rPr>
          <w:rFonts w:hint="eastAsia" w:ascii="Times New Roman" w:hAnsi="Times New Roman" w:eastAsia="仿宋_GB2312"/>
          <w:sz w:val="32"/>
          <w:szCs w:val="32"/>
        </w:rPr>
        <w:t>%；节能环保支出5</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3.59</w:t>
      </w:r>
      <w:r>
        <w:rPr>
          <w:rFonts w:hint="eastAsia" w:ascii="Times New Roman" w:hAnsi="Times New Roman" w:eastAsia="仿宋_GB2312"/>
          <w:sz w:val="32"/>
          <w:szCs w:val="32"/>
        </w:rPr>
        <w:t>%；城乡社区支出2</w:t>
      </w:r>
      <w:r>
        <w:rPr>
          <w:rFonts w:ascii="Times New Roman" w:hAnsi="Times New Roman" w:eastAsia="仿宋_GB2312"/>
          <w:sz w:val="32"/>
          <w:szCs w:val="32"/>
        </w:rPr>
        <w:t>5</w:t>
      </w:r>
      <w:r>
        <w:rPr>
          <w:rFonts w:hint="eastAsia" w:ascii="Times New Roman" w:hAnsi="Times New Roman" w:eastAsia="仿宋_GB2312"/>
          <w:sz w:val="32"/>
          <w:szCs w:val="32"/>
        </w:rPr>
        <w:t>万元，占1</w:t>
      </w:r>
      <w:r>
        <w:rPr>
          <w:rFonts w:ascii="Times New Roman" w:hAnsi="Times New Roman" w:eastAsia="仿宋_GB2312"/>
          <w:sz w:val="32"/>
          <w:szCs w:val="32"/>
        </w:rPr>
        <w:t>.88</w:t>
      </w:r>
      <w:r>
        <w:rPr>
          <w:rFonts w:hint="eastAsia" w:ascii="Times New Roman" w:hAnsi="Times New Roman" w:eastAsia="仿宋_GB2312"/>
          <w:sz w:val="32"/>
          <w:szCs w:val="32"/>
        </w:rPr>
        <w:t>%；农林水支出</w:t>
      </w:r>
      <w:r>
        <w:rPr>
          <w:rFonts w:ascii="Times New Roman" w:hAnsi="Times New Roman" w:eastAsia="仿宋_GB2312"/>
          <w:sz w:val="32"/>
          <w:szCs w:val="32"/>
        </w:rPr>
        <w:t>53.2</w:t>
      </w:r>
      <w:r>
        <w:rPr>
          <w:rFonts w:hint="eastAsia" w:ascii="Times New Roman" w:hAnsi="Times New Roman" w:eastAsia="仿宋_GB2312"/>
          <w:sz w:val="32"/>
          <w:szCs w:val="32"/>
        </w:rPr>
        <w:t>万元，占3</w:t>
      </w:r>
      <w:r>
        <w:rPr>
          <w:rFonts w:ascii="Times New Roman" w:hAnsi="Times New Roman" w:eastAsia="仿宋_GB2312"/>
          <w:sz w:val="32"/>
          <w:szCs w:val="32"/>
        </w:rPr>
        <w:t>.82</w:t>
      </w:r>
      <w:r>
        <w:rPr>
          <w:rFonts w:hint="eastAsia" w:ascii="Times New Roman" w:hAnsi="Times New Roman" w:eastAsia="仿宋_GB2312"/>
          <w:sz w:val="32"/>
          <w:szCs w:val="32"/>
        </w:rPr>
        <w:t>%；住房保障支出2</w:t>
      </w:r>
      <w:r>
        <w:rPr>
          <w:rFonts w:ascii="Times New Roman" w:hAnsi="Times New Roman" w:eastAsia="仿宋_GB2312"/>
          <w:sz w:val="32"/>
          <w:szCs w:val="32"/>
        </w:rPr>
        <w:t>3.7</w:t>
      </w:r>
      <w:r>
        <w:rPr>
          <w:rFonts w:hint="eastAsia" w:ascii="Times New Roman" w:hAnsi="Times New Roman" w:eastAsia="仿宋_GB2312"/>
          <w:sz w:val="32"/>
          <w:szCs w:val="32"/>
        </w:rPr>
        <w:t>万元，占1</w:t>
      </w:r>
      <w:r>
        <w:rPr>
          <w:rFonts w:ascii="Times New Roman" w:hAnsi="Times New Roman" w:eastAsia="仿宋_GB2312"/>
          <w:sz w:val="32"/>
          <w:szCs w:val="32"/>
        </w:rPr>
        <w:t>.7</w:t>
      </w:r>
      <w:r>
        <w:rPr>
          <w:rFonts w:hint="eastAsia" w:ascii="Times New Roman" w:hAnsi="Times New Roman" w:eastAsia="仿宋_GB2312"/>
          <w:sz w:val="32"/>
          <w:szCs w:val="32"/>
        </w:rPr>
        <w:t>%；灾害防治及应急管理支出8万元，占0</w:t>
      </w:r>
      <w:r>
        <w:rPr>
          <w:rFonts w:ascii="Times New Roman" w:hAnsi="Times New Roman" w:eastAsia="仿宋_GB2312"/>
          <w:sz w:val="32"/>
          <w:szCs w:val="32"/>
        </w:rPr>
        <w:t>.58</w:t>
      </w:r>
      <w:r>
        <w:rPr>
          <w:rFonts w:hint="eastAsia" w:ascii="Times New Roman" w:hAnsi="Times New Roman" w:eastAsia="仿宋_GB2312"/>
          <w:sz w:val="32"/>
          <w:szCs w:val="32"/>
        </w:rPr>
        <w:t>%。</w:t>
      </w:r>
    </w:p>
    <w:p>
      <w:pPr>
        <w:spacing w:before="212" w:line="226" w:lineRule="auto"/>
        <w:ind w:left="642"/>
        <w:rPr>
          <w:rFonts w:ascii="黑体" w:hAnsi="黑体" w:eastAsia="黑体" w:cs="黑体"/>
          <w:sz w:val="31"/>
          <w:szCs w:val="31"/>
        </w:rPr>
      </w:pPr>
      <w:r>
        <w:rPr>
          <w:rFonts w:ascii="黑体" w:hAnsi="黑体" w:eastAsia="黑体" w:cs="黑体"/>
          <w:spacing w:val="8"/>
          <w:sz w:val="31"/>
          <w:szCs w:val="31"/>
        </w:rPr>
        <w:t>六、一般公共预算基本支出预算情况说明</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洛龙区古城街道办事处</w:t>
      </w:r>
      <w:r>
        <w:rPr>
          <w:rFonts w:hint="eastAsia" w:ascii="Times New Roman" w:hAnsi="Times New Roman" w:eastAsia="仿宋_GB2312"/>
          <w:sz w:val="32"/>
          <w:szCs w:val="32"/>
        </w:rPr>
        <w:t xml:space="preserve"> 2022 年一般公共预算基本支出年初预算为</w:t>
      </w:r>
      <w:r>
        <w:rPr>
          <w:rFonts w:hint="eastAsia" w:ascii="Times New Roman" w:hAnsi="Times New Roman" w:eastAsia="仿宋_GB2312"/>
          <w:sz w:val="32"/>
          <w:szCs w:val="32"/>
          <w:lang w:val="en-US" w:eastAsia="zh-CN"/>
        </w:rPr>
        <w:t>552.09</w:t>
      </w:r>
      <w:r>
        <w:rPr>
          <w:rFonts w:hint="eastAsia" w:ascii="Times New Roman" w:hAnsi="Times New Roman" w:eastAsia="仿宋_GB2312"/>
          <w:sz w:val="32"/>
          <w:szCs w:val="32"/>
        </w:rPr>
        <w:t>万元。其中：人员经费支出</w:t>
      </w:r>
      <w:r>
        <w:rPr>
          <w:rFonts w:hint="eastAsia" w:ascii="Times New Roman" w:hAnsi="Times New Roman" w:eastAsia="仿宋_GB2312"/>
          <w:sz w:val="32"/>
          <w:szCs w:val="32"/>
          <w:lang w:val="en-US" w:eastAsia="zh-CN"/>
        </w:rPr>
        <w:t>514.32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93.16</w:t>
      </w:r>
      <w:r>
        <w:rPr>
          <w:rFonts w:hint="eastAsia" w:ascii="Times New Roman" w:hAnsi="Times New Roman" w:eastAsia="仿宋_GB2312"/>
          <w:sz w:val="32"/>
          <w:szCs w:val="32"/>
        </w:rPr>
        <w:t>%；公用经费支出</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6.84</w:t>
      </w:r>
      <w:r>
        <w:rPr>
          <w:rFonts w:hint="eastAsia" w:ascii="Times New Roman" w:hAnsi="Times New Roman" w:eastAsia="仿宋_GB2312"/>
          <w:sz w:val="32"/>
          <w:szCs w:val="32"/>
        </w:rPr>
        <w:t xml:space="preserve"> %。</w:t>
      </w:r>
    </w:p>
    <w:p>
      <w:pPr>
        <w:spacing w:before="215" w:line="226" w:lineRule="auto"/>
        <w:ind w:left="630"/>
        <w:rPr>
          <w:rFonts w:ascii="黑体" w:hAnsi="黑体" w:eastAsia="黑体" w:cs="黑体"/>
          <w:sz w:val="31"/>
          <w:szCs w:val="31"/>
        </w:rPr>
      </w:pPr>
      <w:r>
        <w:rPr>
          <w:rFonts w:ascii="黑体" w:hAnsi="黑体" w:eastAsia="黑体" w:cs="黑体"/>
          <w:spacing w:val="8"/>
          <w:sz w:val="31"/>
          <w:szCs w:val="31"/>
        </w:rPr>
        <w:t>七、一般公共预算</w:t>
      </w:r>
      <w:r>
        <w:rPr>
          <w:rFonts w:ascii="Times New Roman" w:hAnsi="Times New Roman" w:eastAsia="Times New Roman" w:cs="Times New Roman"/>
          <w:spacing w:val="8"/>
          <w:sz w:val="31"/>
          <w:szCs w:val="31"/>
        </w:rPr>
        <w:t>“</w:t>
      </w:r>
      <w:r>
        <w:rPr>
          <w:rFonts w:ascii="Times New Roman" w:hAnsi="Times New Roman" w:eastAsia="Times New Roman" w:cs="Times New Roman"/>
          <w:spacing w:val="-58"/>
          <w:sz w:val="31"/>
          <w:szCs w:val="31"/>
        </w:rPr>
        <w:t xml:space="preserve"> </w:t>
      </w:r>
      <w:r>
        <w:rPr>
          <w:rFonts w:ascii="黑体" w:hAnsi="黑体" w:eastAsia="黑体" w:cs="黑体"/>
          <w:spacing w:val="8"/>
          <w:sz w:val="31"/>
          <w:szCs w:val="31"/>
        </w:rPr>
        <w:t>三公</w:t>
      </w:r>
      <w:r>
        <w:rPr>
          <w:rFonts w:ascii="Times New Roman" w:hAnsi="Times New Roman" w:eastAsia="Times New Roman" w:cs="Times New Roman"/>
          <w:spacing w:val="8"/>
          <w:sz w:val="31"/>
          <w:szCs w:val="31"/>
        </w:rPr>
        <w:t>”</w:t>
      </w:r>
      <w:r>
        <w:rPr>
          <w:rFonts w:ascii="黑体" w:hAnsi="黑体" w:eastAsia="黑体" w:cs="黑体"/>
          <w:spacing w:val="8"/>
          <w:sz w:val="31"/>
          <w:szCs w:val="31"/>
        </w:rPr>
        <w:t>经费支出预算情况</w:t>
      </w:r>
      <w:r>
        <w:rPr>
          <w:rFonts w:ascii="黑体" w:hAnsi="黑体" w:eastAsia="黑体" w:cs="黑体"/>
          <w:spacing w:val="7"/>
          <w:sz w:val="31"/>
          <w:szCs w:val="31"/>
        </w:rPr>
        <w:t>说明</w:t>
      </w:r>
    </w:p>
    <w:p>
      <w:pPr>
        <w:pStyle w:val="2"/>
        <w:spacing w:before="220" w:line="600" w:lineRule="exact"/>
        <w:ind w:right="1"/>
        <w:jc w:val="right"/>
        <w:rPr>
          <w:rFonts w:ascii="Times New Roman" w:hAnsi="Times New Roman" w:eastAsia="Times New Roman" w:cs="Times New Roman"/>
        </w:rPr>
      </w:pPr>
      <w:r>
        <w:rPr>
          <w:rFonts w:hint="eastAsia"/>
          <w:spacing w:val="-3"/>
          <w:position w:val="21"/>
          <w:lang w:eastAsia="zh-CN"/>
        </w:rPr>
        <w:t>洛龙区古城街道办事处</w:t>
      </w:r>
      <w:r>
        <w:rPr>
          <w:spacing w:val="-58"/>
          <w:position w:val="21"/>
        </w:rPr>
        <w:t xml:space="preserve"> </w:t>
      </w:r>
      <w:r>
        <w:rPr>
          <w:rFonts w:ascii="Times New Roman" w:hAnsi="Times New Roman" w:eastAsia="Times New Roman" w:cs="Times New Roman"/>
          <w:spacing w:val="-3"/>
          <w:position w:val="21"/>
        </w:rPr>
        <w:t>2022</w:t>
      </w:r>
      <w:r>
        <w:rPr>
          <w:spacing w:val="-3"/>
          <w:position w:val="21"/>
        </w:rPr>
        <w:t>年</w:t>
      </w:r>
      <w:r>
        <w:rPr>
          <w:rFonts w:ascii="Times New Roman" w:hAnsi="Times New Roman" w:eastAsia="Times New Roman" w:cs="Times New Roman"/>
          <w:spacing w:val="-3"/>
          <w:position w:val="21"/>
        </w:rPr>
        <w:t>“</w:t>
      </w:r>
      <w:r>
        <w:rPr>
          <w:rFonts w:ascii="Times New Roman" w:hAnsi="Times New Roman" w:eastAsia="Times New Roman" w:cs="Times New Roman"/>
          <w:spacing w:val="-45"/>
          <w:position w:val="21"/>
        </w:rPr>
        <w:t xml:space="preserve"> </w:t>
      </w:r>
      <w:r>
        <w:rPr>
          <w:spacing w:val="-3"/>
          <w:position w:val="21"/>
        </w:rPr>
        <w:t>三公</w:t>
      </w:r>
      <w:r>
        <w:rPr>
          <w:rFonts w:ascii="Times New Roman" w:hAnsi="Times New Roman" w:eastAsia="Times New Roman" w:cs="Times New Roman"/>
          <w:spacing w:val="-3"/>
          <w:position w:val="21"/>
        </w:rPr>
        <w:t>”</w:t>
      </w:r>
      <w:r>
        <w:rPr>
          <w:rFonts w:ascii="Times New Roman" w:hAnsi="Times New Roman" w:eastAsia="Times New Roman" w:cs="Times New Roman"/>
          <w:spacing w:val="-56"/>
          <w:position w:val="21"/>
        </w:rPr>
        <w:t xml:space="preserve"> </w:t>
      </w:r>
      <w:r>
        <w:rPr>
          <w:spacing w:val="-3"/>
          <w:position w:val="21"/>
        </w:rPr>
        <w:t>经费支出预算为</w:t>
      </w:r>
      <w:r>
        <w:rPr>
          <w:rFonts w:hint="eastAsia"/>
          <w:spacing w:val="-36"/>
          <w:position w:val="21"/>
          <w:lang w:val="en-US" w:eastAsia="zh-CN"/>
        </w:rPr>
        <w:t>3</w:t>
      </w:r>
      <w:r>
        <w:rPr>
          <w:spacing w:val="-3"/>
          <w:position w:val="21"/>
        </w:rPr>
        <w:t>元。</w:t>
      </w:r>
      <w:r>
        <w:rPr>
          <w:rFonts w:ascii="Times New Roman" w:hAnsi="Times New Roman" w:eastAsia="Times New Roman" w:cs="Times New Roman"/>
          <w:spacing w:val="-3"/>
          <w:position w:val="21"/>
        </w:rPr>
        <w:t>2022</w:t>
      </w:r>
    </w:p>
    <w:p>
      <w:pPr>
        <w:pStyle w:val="2"/>
        <w:spacing w:line="227" w:lineRule="auto"/>
        <w:ind w:left="6"/>
      </w:pPr>
      <w:r>
        <w:rPr>
          <w:spacing w:val="2"/>
        </w:rPr>
        <w:t>年</w:t>
      </w:r>
      <w:r>
        <w:rPr>
          <w:rFonts w:ascii="Times New Roman" w:hAnsi="Times New Roman" w:eastAsia="Times New Roman" w:cs="Times New Roman"/>
          <w:spacing w:val="2"/>
        </w:rPr>
        <w:t>“</w:t>
      </w:r>
      <w:r>
        <w:rPr>
          <w:rFonts w:ascii="Times New Roman" w:hAnsi="Times New Roman" w:eastAsia="Times New Roman" w:cs="Times New Roman"/>
          <w:spacing w:val="-47"/>
        </w:rPr>
        <w:t xml:space="preserve"> </w:t>
      </w:r>
      <w:r>
        <w:rPr>
          <w:spacing w:val="2"/>
        </w:rPr>
        <w:t>三公</w:t>
      </w:r>
      <w:r>
        <w:rPr>
          <w:rFonts w:ascii="Times New Roman" w:hAnsi="Times New Roman" w:eastAsia="Times New Roman" w:cs="Times New Roman"/>
          <w:spacing w:val="2"/>
        </w:rPr>
        <w:t>”</w:t>
      </w:r>
      <w:r>
        <w:rPr>
          <w:rFonts w:ascii="Times New Roman" w:hAnsi="Times New Roman" w:eastAsia="Times New Roman" w:cs="Times New Roman"/>
          <w:spacing w:val="-56"/>
        </w:rPr>
        <w:t xml:space="preserve"> </w:t>
      </w:r>
      <w:r>
        <w:rPr>
          <w:spacing w:val="2"/>
        </w:rPr>
        <w:t>经费支出预算数比</w:t>
      </w:r>
      <w:r>
        <w:rPr>
          <w:spacing w:val="-66"/>
        </w:rPr>
        <w:t xml:space="preserve"> </w:t>
      </w:r>
      <w:r>
        <w:rPr>
          <w:rFonts w:ascii="Times New Roman" w:hAnsi="Times New Roman" w:eastAsia="Times New Roman" w:cs="Times New Roman"/>
          <w:spacing w:val="2"/>
        </w:rPr>
        <w:t>2021</w:t>
      </w:r>
      <w:r>
        <w:rPr>
          <w:spacing w:val="2"/>
        </w:rPr>
        <w:t>年增加</w:t>
      </w:r>
      <w:r>
        <w:rPr>
          <w:spacing w:val="-59"/>
        </w:rPr>
        <w:t xml:space="preserve"> </w:t>
      </w:r>
      <w:r>
        <w:rPr>
          <w:rFonts w:hint="eastAsia"/>
          <w:spacing w:val="-59"/>
          <w:lang w:val="en-US" w:eastAsia="zh-CN"/>
        </w:rPr>
        <w:t>0</w:t>
      </w:r>
      <w:r>
        <w:rPr>
          <w:spacing w:val="1"/>
        </w:rPr>
        <w:t>万元。</w:t>
      </w:r>
    </w:p>
    <w:p>
      <w:pPr>
        <w:pStyle w:val="2"/>
        <w:spacing w:before="218" w:line="228" w:lineRule="auto"/>
        <w:ind w:left="644"/>
      </w:pPr>
      <w:r>
        <w:rPr>
          <w:spacing w:val="5"/>
        </w:rPr>
        <w:t>具体支出情况如下：</w:t>
      </w:r>
    </w:p>
    <w:p>
      <w:pPr>
        <w:pStyle w:val="2"/>
        <w:spacing w:before="218" w:line="357" w:lineRule="auto"/>
        <w:ind w:left="8" w:right="2" w:firstLine="631"/>
      </w:pPr>
      <w:r>
        <w:rPr>
          <w:b/>
          <w:bCs/>
          <w:spacing w:val="9"/>
        </w:rPr>
        <w:t>（一）因公出国（境）费</w:t>
      </w:r>
      <w:r>
        <w:rPr>
          <w:rFonts w:ascii="Times New Roman" w:hAnsi="Times New Roman" w:eastAsia="Times New Roman" w:cs="Times New Roman"/>
          <w:spacing w:val="9"/>
        </w:rPr>
        <w:t>0</w:t>
      </w:r>
      <w:r>
        <w:rPr>
          <w:spacing w:val="9"/>
        </w:rPr>
        <w:t>万元，主要用于单位工作人员公</w:t>
      </w:r>
      <w:r>
        <w:rPr>
          <w:spacing w:val="4"/>
        </w:rPr>
        <w:t xml:space="preserve"> 务出国（境）的住宿费、旅费、伙食补助费、杂费、培训费等支出。预算数与</w:t>
      </w:r>
      <w:r>
        <w:rPr>
          <w:rFonts w:ascii="Times New Roman" w:hAnsi="Times New Roman" w:eastAsia="Times New Roman" w:cs="Times New Roman"/>
          <w:spacing w:val="4"/>
        </w:rPr>
        <w:t>2021</w:t>
      </w:r>
      <w:r>
        <w:rPr>
          <w:spacing w:val="4"/>
        </w:rPr>
        <w:t>年保持一致。</w:t>
      </w:r>
    </w:p>
    <w:p>
      <w:pPr>
        <w:pStyle w:val="2"/>
        <w:spacing w:before="221" w:line="357" w:lineRule="auto"/>
        <w:ind w:left="1" w:right="2" w:firstLine="639"/>
      </w:pPr>
      <w:r>
        <w:rPr>
          <w:b/>
          <w:bCs/>
          <w:spacing w:val="9"/>
        </w:rPr>
        <w:t>（二）公务接待费</w:t>
      </w:r>
      <w:r>
        <w:rPr>
          <w:rFonts w:ascii="Times New Roman" w:hAnsi="Times New Roman" w:eastAsia="Times New Roman" w:cs="Times New Roman"/>
          <w:spacing w:val="9"/>
        </w:rPr>
        <w:t>0</w:t>
      </w:r>
      <w:r>
        <w:rPr>
          <w:spacing w:val="9"/>
        </w:rPr>
        <w:t>万元，主要用于按规定开支的各类公务</w:t>
      </w:r>
      <w:r>
        <w:rPr>
          <w:spacing w:val="13"/>
        </w:rPr>
        <w:t xml:space="preserve"> </w:t>
      </w:r>
      <w:r>
        <w:rPr>
          <w:spacing w:val="10"/>
        </w:rPr>
        <w:t>接待（含外宾接待）支出，预算数比</w:t>
      </w:r>
      <w:r>
        <w:rPr>
          <w:rFonts w:ascii="Times New Roman" w:hAnsi="Times New Roman" w:eastAsia="Times New Roman" w:cs="Times New Roman"/>
          <w:spacing w:val="10"/>
        </w:rPr>
        <w:t>2021</w:t>
      </w:r>
      <w:r>
        <w:rPr>
          <w:spacing w:val="10"/>
        </w:rPr>
        <w:t>年减少</w:t>
      </w:r>
      <w:r>
        <w:rPr>
          <w:rFonts w:hint="eastAsia"/>
          <w:spacing w:val="10"/>
          <w:lang w:val="en-US" w:eastAsia="zh-CN"/>
        </w:rPr>
        <w:t>0</w:t>
      </w:r>
      <w:r>
        <w:rPr>
          <w:spacing w:val="9"/>
        </w:rPr>
        <w:t>万元。主要原</w:t>
      </w:r>
      <w:r>
        <w:rPr>
          <w:spacing w:val="5"/>
        </w:rPr>
        <w:t>因是我单位无公务接待支出。</w:t>
      </w:r>
    </w:p>
    <w:p>
      <w:pPr>
        <w:pStyle w:val="2"/>
        <w:spacing w:before="223" w:line="357" w:lineRule="auto"/>
        <w:ind w:firstLine="640"/>
      </w:pPr>
      <w:r>
        <w:rPr>
          <w:b/>
          <w:bCs/>
          <w:spacing w:val="11"/>
        </w:rPr>
        <w:t>（三）公务用车购置及运行费</w:t>
      </w:r>
      <w:r>
        <w:rPr>
          <w:rFonts w:hint="eastAsia"/>
          <w:b/>
          <w:bCs/>
          <w:spacing w:val="11"/>
          <w:lang w:val="en-US" w:eastAsia="zh-CN"/>
        </w:rPr>
        <w:t>3</w:t>
      </w:r>
      <w:r>
        <w:rPr>
          <w:spacing w:val="11"/>
        </w:rPr>
        <w:t>万元，其中：公务用车</w:t>
      </w:r>
      <w:r>
        <w:rPr>
          <w:spacing w:val="7"/>
        </w:rPr>
        <w:t>购置费</w:t>
      </w:r>
      <w:r>
        <w:rPr>
          <w:rFonts w:ascii="Times New Roman" w:hAnsi="Times New Roman" w:eastAsia="Times New Roman" w:cs="Times New Roman"/>
          <w:spacing w:val="7"/>
        </w:rPr>
        <w:t>0</w:t>
      </w:r>
      <w:r>
        <w:rPr>
          <w:spacing w:val="7"/>
        </w:rPr>
        <w:t>万元；公务用车运行维护费</w:t>
      </w:r>
      <w:r>
        <w:rPr>
          <w:rFonts w:hint="eastAsia" w:ascii="Times New Roman" w:hAnsi="Times New Roman" w:eastAsia="宋体" w:cs="Times New Roman"/>
          <w:spacing w:val="7"/>
          <w:lang w:val="en-US" w:eastAsia="zh-CN"/>
        </w:rPr>
        <w:t>3</w:t>
      </w:r>
      <w:r>
        <w:rPr>
          <w:spacing w:val="7"/>
        </w:rPr>
        <w:t>万元，主要用于开展工</w:t>
      </w:r>
      <w:r>
        <w:rPr>
          <w:spacing w:val="5"/>
        </w:rPr>
        <w:t>作所需公务用车的燃料费、维修费、过路过桥费、保险费、安全</w:t>
      </w:r>
      <w:r>
        <w:rPr>
          <w:spacing w:val="10"/>
        </w:rPr>
        <w:t>奖励费用等支出。公务用车购置费预算数比</w:t>
      </w:r>
      <w:r>
        <w:rPr>
          <w:rFonts w:ascii="Times New Roman" w:hAnsi="Times New Roman" w:eastAsia="Times New Roman" w:cs="Times New Roman"/>
          <w:spacing w:val="10"/>
        </w:rPr>
        <w:t>2021</w:t>
      </w:r>
      <w:r>
        <w:rPr>
          <w:spacing w:val="10"/>
        </w:rPr>
        <w:t>年增加</w:t>
      </w:r>
      <w:r>
        <w:rPr>
          <w:rFonts w:ascii="Times New Roman" w:hAnsi="Times New Roman" w:eastAsia="Times New Roman" w:cs="Times New Roman"/>
          <w:spacing w:val="9"/>
        </w:rPr>
        <w:t>0</w:t>
      </w:r>
      <w:r>
        <w:rPr>
          <w:spacing w:val="9"/>
        </w:rPr>
        <w:t>万元，</w:t>
      </w:r>
      <w:r>
        <w:rPr>
          <w:spacing w:val="5"/>
        </w:rPr>
        <w:t>主要原因：无车辆购置计划。公务用车运行维</w:t>
      </w:r>
      <w:r>
        <w:rPr>
          <w:spacing w:val="4"/>
        </w:rPr>
        <w:t>护费预算数比</w:t>
      </w:r>
      <w:r>
        <w:rPr>
          <w:rFonts w:ascii="Times New Roman" w:hAnsi="Times New Roman" w:eastAsia="Times New Roman" w:cs="Times New Roman"/>
          <w:spacing w:val="4"/>
        </w:rPr>
        <w:t>2021</w:t>
      </w:r>
      <w:r>
        <w:rPr>
          <w:spacing w:val="7"/>
        </w:rPr>
        <w:t>年增加</w:t>
      </w:r>
      <w:r>
        <w:rPr>
          <w:rFonts w:hint="eastAsia" w:ascii="Times New Roman" w:hAnsi="Times New Roman" w:eastAsia="宋体" w:cs="Times New Roman"/>
          <w:spacing w:val="7"/>
          <w:lang w:val="en-US" w:eastAsia="zh-CN"/>
        </w:rPr>
        <w:t>0</w:t>
      </w:r>
      <w:r>
        <w:rPr>
          <w:spacing w:val="7"/>
        </w:rPr>
        <w:t>万元，主要原因：纳入公务用车运行维护支出的车辆</w:t>
      </w:r>
      <w:r>
        <w:rPr>
          <w:spacing w:val="-1"/>
        </w:rPr>
        <w:t>增加。</w:t>
      </w:r>
    </w:p>
    <w:p>
      <w:pPr>
        <w:spacing w:before="217" w:line="226" w:lineRule="auto"/>
        <w:ind w:left="632"/>
        <w:rPr>
          <w:rFonts w:ascii="黑体" w:hAnsi="黑体" w:eastAsia="黑体" w:cs="黑体"/>
          <w:sz w:val="31"/>
          <w:szCs w:val="31"/>
        </w:rPr>
      </w:pPr>
      <w:r>
        <w:rPr>
          <w:rFonts w:ascii="黑体" w:hAnsi="黑体" w:eastAsia="黑体" w:cs="黑体"/>
          <w:spacing w:val="9"/>
          <w:sz w:val="31"/>
          <w:szCs w:val="31"/>
        </w:rPr>
        <w:t>八、政府性基金支出预算情况说明</w:t>
      </w:r>
    </w:p>
    <w:p>
      <w:pPr>
        <w:pStyle w:val="2"/>
        <w:spacing w:before="219" w:line="226" w:lineRule="auto"/>
        <w:ind w:firstLine="660" w:firstLineChars="200"/>
      </w:pPr>
      <w:r>
        <w:rPr>
          <w:rFonts w:hint="eastAsia"/>
          <w:spacing w:val="10"/>
          <w:lang w:eastAsia="zh-CN"/>
        </w:rPr>
        <w:t>洛龙区古城街道办事处</w:t>
      </w:r>
      <w:r>
        <w:rPr>
          <w:spacing w:val="10"/>
        </w:rPr>
        <w:t>2022年无政府性基金预算拨款安排的支出。</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222" w:line="360" w:lineRule="auto"/>
        <w:ind w:firstLine="660" w:firstLineChars="200"/>
        <w:textAlignment w:val="baseline"/>
        <w:rPr>
          <w:rFonts w:ascii="仿宋" w:hAnsi="仿宋" w:eastAsia="仿宋" w:cs="仿宋"/>
          <w:snapToGrid w:val="0"/>
          <w:color w:val="000000"/>
          <w:spacing w:val="10"/>
          <w:kern w:val="0"/>
          <w:sz w:val="31"/>
          <w:szCs w:val="31"/>
          <w:lang w:val="en-US" w:eastAsia="en-US" w:bidi="ar-SA"/>
        </w:rPr>
      </w:pPr>
      <w:r>
        <w:rPr>
          <w:rFonts w:hint="eastAsia" w:ascii="黑体" w:hAnsi="黑体" w:eastAsia="黑体" w:cs="黑体"/>
          <w:snapToGrid w:val="0"/>
          <w:color w:val="000000"/>
          <w:spacing w:val="10"/>
          <w:kern w:val="0"/>
          <w:sz w:val="31"/>
          <w:szCs w:val="31"/>
          <w:lang w:val="en-US" w:eastAsia="zh-CN" w:bidi="ar-SA"/>
        </w:rPr>
        <w:t>九、</w:t>
      </w:r>
      <w:r>
        <w:rPr>
          <w:rFonts w:hint="eastAsia" w:ascii="黑体" w:hAnsi="黑体" w:eastAsia="黑体" w:cs="黑体"/>
          <w:snapToGrid w:val="0"/>
          <w:color w:val="000000"/>
          <w:spacing w:val="10"/>
          <w:kern w:val="0"/>
          <w:sz w:val="31"/>
          <w:szCs w:val="31"/>
          <w:lang w:val="en-US" w:eastAsia="en-US" w:bidi="ar-SA"/>
        </w:rPr>
        <w:t>国有资本经营预算支出预算情况说明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00"/>
        <w:textAlignment w:val="baseline"/>
        <w:rPr>
          <w:rFonts w:ascii="仿宋" w:hAnsi="仿宋" w:eastAsia="仿宋" w:cs="仿宋"/>
          <w:snapToGrid w:val="0"/>
          <w:color w:val="000000"/>
          <w:spacing w:val="10"/>
          <w:kern w:val="0"/>
          <w:sz w:val="31"/>
          <w:szCs w:val="31"/>
          <w:lang w:val="en-US" w:eastAsia="en-US" w:bidi="ar-SA"/>
        </w:rPr>
      </w:pPr>
      <w:r>
        <w:rPr>
          <w:rFonts w:hint="eastAsia" w:ascii="仿宋" w:hAnsi="仿宋" w:eastAsia="仿宋" w:cs="仿宋"/>
          <w:snapToGrid w:val="0"/>
          <w:color w:val="000000"/>
          <w:spacing w:val="10"/>
          <w:kern w:val="0"/>
          <w:sz w:val="31"/>
          <w:szCs w:val="31"/>
          <w:lang w:val="en-US" w:eastAsia="zh-CN" w:bidi="ar-SA"/>
        </w:rPr>
        <w:t>洛龙区古城街道办事处</w:t>
      </w:r>
      <w:r>
        <w:rPr>
          <w:rFonts w:ascii="仿宋" w:hAnsi="仿宋" w:eastAsia="仿宋" w:cs="仿宋"/>
          <w:snapToGrid w:val="0"/>
          <w:color w:val="000000"/>
          <w:spacing w:val="10"/>
          <w:kern w:val="0"/>
          <w:sz w:val="31"/>
          <w:szCs w:val="31"/>
          <w:lang w:val="en-US" w:eastAsia="en-US" w:bidi="ar-SA"/>
        </w:rPr>
        <w:t>2022年无国有资本经营预算拨款安排的支出。</w:t>
      </w:r>
    </w:p>
    <w:p>
      <w:pPr>
        <w:spacing w:line="226" w:lineRule="auto"/>
        <w:ind w:left="640"/>
        <w:rPr>
          <w:rFonts w:ascii="黑体" w:hAnsi="黑体" w:eastAsia="黑体" w:cs="黑体"/>
          <w:sz w:val="31"/>
          <w:szCs w:val="31"/>
        </w:rPr>
      </w:pPr>
      <w:r>
        <w:rPr>
          <w:rFonts w:ascii="黑体" w:hAnsi="黑体" w:eastAsia="黑体" w:cs="黑体"/>
          <w:spacing w:val="6"/>
          <w:sz w:val="31"/>
          <w:szCs w:val="31"/>
        </w:rPr>
        <w:t>十、其他重要事项情况说明</w:t>
      </w:r>
    </w:p>
    <w:p>
      <w:pPr>
        <w:pStyle w:val="2"/>
        <w:spacing w:before="220" w:line="226" w:lineRule="auto"/>
        <w:ind w:left="654"/>
      </w:pPr>
      <w:r>
        <w:rPr>
          <w:b/>
          <w:bCs/>
          <w:spacing w:val="6"/>
        </w:rPr>
        <w:t>（一）行政（事业）单位机构运行经费支出预算情况</w:t>
      </w:r>
    </w:p>
    <w:p>
      <w:pPr>
        <w:pStyle w:val="2"/>
        <w:spacing w:before="220" w:line="357" w:lineRule="auto"/>
        <w:ind w:left="10" w:right="59" w:firstLine="643"/>
        <w:jc w:val="both"/>
      </w:pPr>
      <w:r>
        <w:rPr>
          <w:rFonts w:hint="eastAsia"/>
          <w:spacing w:val="5"/>
          <w:lang w:eastAsia="zh-CN"/>
        </w:rPr>
        <w:t>洛龙区古城街道办事处</w:t>
      </w:r>
      <w:r>
        <w:rPr>
          <w:spacing w:val="5"/>
        </w:rPr>
        <w:t>2022年</w:t>
      </w:r>
      <w:r>
        <w:rPr>
          <w:spacing w:val="12"/>
        </w:rPr>
        <w:t>机构运行经费支出预</w:t>
      </w:r>
      <w:r>
        <w:rPr>
          <w:spacing w:val="11"/>
        </w:rPr>
        <w:t>算</w:t>
      </w:r>
      <w:r>
        <w:rPr>
          <w:rFonts w:hint="eastAsia" w:ascii="Times New Roman" w:hAnsi="Times New Roman" w:eastAsia="宋体" w:cs="Times New Roman"/>
          <w:spacing w:val="11"/>
          <w:lang w:val="en-US" w:eastAsia="zh-CN"/>
        </w:rPr>
        <w:t>981.24</w:t>
      </w:r>
      <w:r>
        <w:rPr>
          <w:spacing w:val="11"/>
        </w:rPr>
        <w:t>万元，主要</w:t>
      </w:r>
      <w:r>
        <w:t xml:space="preserve"> </w:t>
      </w:r>
      <w:r>
        <w:rPr>
          <w:spacing w:val="5"/>
        </w:rPr>
        <w:t>保障机构正常运转及正常履职需要所需支出，包含公用经费、公</w:t>
      </w:r>
      <w:r>
        <w:rPr>
          <w:spacing w:val="7"/>
        </w:rPr>
        <w:t>务交通补贴、工会经费、职工福利费等。</w:t>
      </w:r>
    </w:p>
    <w:p>
      <w:pPr>
        <w:pStyle w:val="2"/>
        <w:spacing w:before="219" w:line="227" w:lineRule="auto"/>
        <w:ind w:left="654"/>
      </w:pPr>
      <w:r>
        <w:rPr>
          <w:b/>
          <w:bCs/>
          <w:spacing w:val="5"/>
        </w:rPr>
        <w:t>（二）政府采购支出预算情况</w:t>
      </w:r>
    </w:p>
    <w:p>
      <w:pPr>
        <w:pStyle w:val="2"/>
        <w:spacing w:before="220" w:line="357" w:lineRule="auto"/>
        <w:ind w:left="9" w:right="59" w:firstLine="644"/>
        <w:jc w:val="both"/>
      </w:pPr>
      <w:r>
        <w:rPr>
          <w:rFonts w:hint="eastAsia"/>
          <w:spacing w:val="10"/>
          <w:lang w:eastAsia="zh-CN"/>
        </w:rPr>
        <w:t>洛龙区古城街道办事处</w:t>
      </w:r>
      <w:r>
        <w:rPr>
          <w:spacing w:val="10"/>
        </w:rPr>
        <w:t>2022</w:t>
      </w:r>
      <w:r>
        <w:rPr>
          <w:spacing w:val="10"/>
        </w:rPr>
        <w:t>年政府采购预算安排</w:t>
      </w:r>
      <w:r>
        <w:rPr>
          <w:rFonts w:ascii="Times New Roman" w:hAnsi="Times New Roman" w:eastAsia="Times New Roman" w:cs="Times New Roman"/>
          <w:spacing w:val="10"/>
        </w:rPr>
        <w:t>0</w:t>
      </w:r>
      <w:r>
        <w:rPr>
          <w:spacing w:val="10"/>
        </w:rPr>
        <w:t>万</w:t>
      </w:r>
      <w:r>
        <w:rPr>
          <w:spacing w:val="9"/>
        </w:rPr>
        <w:t>元，其中：政府采</w:t>
      </w:r>
      <w:r>
        <w:t xml:space="preserve"> </w:t>
      </w:r>
      <w:r>
        <w:rPr>
          <w:spacing w:val="5"/>
        </w:rPr>
        <w:t>购货物预算</w:t>
      </w:r>
      <w:r>
        <w:rPr>
          <w:rFonts w:ascii="Times New Roman" w:hAnsi="Times New Roman" w:eastAsia="Times New Roman" w:cs="Times New Roman"/>
          <w:spacing w:val="5"/>
        </w:rPr>
        <w:t>0</w:t>
      </w:r>
      <w:r>
        <w:rPr>
          <w:spacing w:val="5"/>
        </w:rPr>
        <w:t>万元、政府采购工程预算</w:t>
      </w:r>
      <w:r>
        <w:rPr>
          <w:rFonts w:ascii="Times New Roman" w:hAnsi="Times New Roman" w:eastAsia="Times New Roman" w:cs="Times New Roman"/>
          <w:spacing w:val="5"/>
        </w:rPr>
        <w:t>0</w:t>
      </w:r>
      <w:r>
        <w:rPr>
          <w:spacing w:val="5"/>
        </w:rPr>
        <w:t>万元、政府</w:t>
      </w:r>
      <w:r>
        <w:rPr>
          <w:spacing w:val="4"/>
        </w:rPr>
        <w:t>采购服务预算</w:t>
      </w:r>
      <w:r>
        <w:rPr>
          <w:rFonts w:ascii="Times New Roman" w:hAnsi="Times New Roman" w:eastAsia="Times New Roman" w:cs="Times New Roman"/>
          <w:spacing w:val="3"/>
        </w:rPr>
        <w:t>0</w:t>
      </w:r>
      <w:r>
        <w:rPr>
          <w:spacing w:val="3"/>
        </w:rPr>
        <w:t>万元。</w:t>
      </w:r>
    </w:p>
    <w:p>
      <w:pPr>
        <w:pStyle w:val="2"/>
        <w:spacing w:before="211" w:line="228" w:lineRule="auto"/>
        <w:ind w:left="654"/>
      </w:pPr>
      <w:r>
        <w:rPr>
          <w:b/>
          <w:bCs/>
          <w:spacing w:val="5"/>
        </w:rPr>
        <w:t>（三）绩效目标设置情况</w:t>
      </w:r>
    </w:p>
    <w:p>
      <w:pPr>
        <w:pStyle w:val="2"/>
        <w:spacing w:before="219" w:line="357" w:lineRule="auto"/>
        <w:ind w:left="10" w:firstLine="801"/>
        <w:jc w:val="both"/>
      </w:pPr>
      <w:r>
        <w:rPr>
          <w:rFonts w:hint="eastAsia"/>
          <w:spacing w:val="10"/>
          <w:lang w:eastAsia="zh-CN"/>
        </w:rPr>
        <w:t>洛龙区古城街道办事处</w:t>
      </w:r>
      <w:r>
        <w:rPr>
          <w:spacing w:val="10"/>
        </w:rPr>
        <w:t>2022</w:t>
      </w:r>
      <w:r>
        <w:rPr>
          <w:spacing w:val="10"/>
        </w:rPr>
        <w:t>年预算项目均按要求编制了绩效</w:t>
      </w:r>
      <w:r>
        <w:rPr>
          <w:spacing w:val="9"/>
        </w:rPr>
        <w:t>目标，从</w:t>
      </w:r>
      <w:r>
        <w:t xml:space="preserve"> </w:t>
      </w:r>
      <w:r>
        <w:rPr>
          <w:spacing w:val="5"/>
        </w:rPr>
        <w:t>项目产出、项目效益、满意度等方面设置了绩效指标，综合</w:t>
      </w:r>
      <w:r>
        <w:rPr>
          <w:spacing w:val="4"/>
        </w:rPr>
        <w:t>反映</w:t>
      </w:r>
      <w:r>
        <w:t xml:space="preserve"> </w:t>
      </w:r>
      <w:r>
        <w:rPr>
          <w:spacing w:val="7"/>
        </w:rPr>
        <w:t>项目预期完成的数量、实效、质量，预期达到的社会经济效益、可持续影响以及服务对象满意度等情况。</w:t>
      </w:r>
    </w:p>
    <w:p>
      <w:pPr>
        <w:pStyle w:val="2"/>
        <w:spacing w:before="217" w:line="228" w:lineRule="auto"/>
        <w:ind w:left="654"/>
      </w:pPr>
      <w:r>
        <w:rPr>
          <w:b/>
          <w:bCs/>
          <w:spacing w:val="-1"/>
        </w:rPr>
        <w:t>（四）</w:t>
      </w:r>
      <w:r>
        <w:rPr>
          <w:spacing w:val="-84"/>
        </w:rPr>
        <w:t xml:space="preserve"> </w:t>
      </w:r>
      <w:r>
        <w:rPr>
          <w:b/>
          <w:bCs/>
          <w:spacing w:val="-1"/>
        </w:rPr>
        <w:t>国有资产占用情况</w:t>
      </w:r>
    </w:p>
    <w:p>
      <w:pPr>
        <w:pStyle w:val="2"/>
        <w:spacing w:before="219" w:line="357" w:lineRule="auto"/>
        <w:ind w:left="17" w:right="60" w:firstLine="618"/>
        <w:jc w:val="both"/>
        <w:rPr>
          <w:rFonts w:hint="eastAsia"/>
          <w:spacing w:val="4"/>
          <w:lang w:eastAsia="zh-CN"/>
        </w:rPr>
      </w:pPr>
      <w:r>
        <w:rPr>
          <w:rFonts w:ascii="Times New Roman" w:hAnsi="Times New Roman" w:eastAsia="Times New Roman" w:cs="Times New Roman"/>
          <w:spacing w:val="4"/>
        </w:rPr>
        <w:t>2021</w:t>
      </w:r>
      <w:r>
        <w:rPr>
          <w:spacing w:val="4"/>
        </w:rPr>
        <w:t>年期末，</w:t>
      </w:r>
      <w:r>
        <w:rPr>
          <w:rFonts w:hint="eastAsia"/>
          <w:spacing w:val="4"/>
          <w:lang w:eastAsia="zh-CN"/>
        </w:rPr>
        <w:t>洛龙区古城街道办事处</w:t>
      </w:r>
      <w:r>
        <w:rPr>
          <w:spacing w:val="4"/>
        </w:rPr>
        <w:t>共有车辆</w:t>
      </w:r>
      <w:r>
        <w:rPr>
          <w:rFonts w:hint="eastAsia" w:ascii="Times New Roman" w:hAnsi="Times New Roman" w:eastAsia="宋体" w:cs="Times New Roman"/>
          <w:spacing w:val="4"/>
          <w:lang w:val="en-US" w:eastAsia="zh-CN"/>
        </w:rPr>
        <w:t>2</w:t>
      </w:r>
      <w:r>
        <w:rPr>
          <w:spacing w:val="4"/>
        </w:rPr>
        <w:t>辆，其中：一般公务用</w:t>
      </w:r>
      <w:r>
        <w:rPr>
          <w:spacing w:val="10"/>
        </w:rPr>
        <w:t>车</w:t>
      </w:r>
      <w:r>
        <w:rPr>
          <w:rFonts w:ascii="Times New Roman" w:hAnsi="Times New Roman" w:eastAsia="Times New Roman" w:cs="Times New Roman"/>
          <w:spacing w:val="10"/>
        </w:rPr>
        <w:t>2</w:t>
      </w:r>
      <w:r>
        <w:rPr>
          <w:spacing w:val="10"/>
        </w:rPr>
        <w:t>辆、一般执法执勤用车</w:t>
      </w:r>
      <w:r>
        <w:rPr>
          <w:rFonts w:hint="eastAsia"/>
          <w:spacing w:val="10"/>
          <w:lang w:val="en-US" w:eastAsia="zh-CN"/>
        </w:rPr>
        <w:t>0</w:t>
      </w:r>
      <w:r>
        <w:rPr>
          <w:spacing w:val="10"/>
        </w:rPr>
        <w:t>辆、特种专业技术用车</w:t>
      </w:r>
      <w:r>
        <w:rPr>
          <w:rFonts w:ascii="Times New Roman" w:hAnsi="Times New Roman" w:eastAsia="Times New Roman" w:cs="Times New Roman"/>
          <w:spacing w:val="10"/>
        </w:rPr>
        <w:t>0</w:t>
      </w:r>
      <w:r>
        <w:rPr>
          <w:spacing w:val="10"/>
        </w:rPr>
        <w:t>辆</w:t>
      </w:r>
      <w:r>
        <w:rPr>
          <w:spacing w:val="9"/>
        </w:rPr>
        <w:t>，其他用</w:t>
      </w:r>
      <w:r>
        <w:rPr>
          <w:spacing w:val="15"/>
        </w:rPr>
        <w:t>车</w:t>
      </w:r>
      <w:r>
        <w:rPr>
          <w:rFonts w:hint="eastAsia" w:ascii="Times New Roman" w:hAnsi="Times New Roman" w:eastAsia="宋体" w:cs="Times New Roman"/>
          <w:spacing w:val="15"/>
          <w:lang w:val="en-US" w:eastAsia="zh-CN"/>
        </w:rPr>
        <w:t>0</w:t>
      </w:r>
      <w:r>
        <w:rPr>
          <w:spacing w:val="15"/>
        </w:rPr>
        <w:t>辆，其他用车主要是巡逻车以及垃圾清运车；单位价值</w:t>
      </w:r>
      <w:r>
        <w:rPr>
          <w:rFonts w:ascii="Times New Roman" w:hAnsi="Times New Roman" w:eastAsia="Times New Roman" w:cs="Times New Roman"/>
          <w:spacing w:val="15"/>
        </w:rPr>
        <w:t>50</w:t>
      </w:r>
      <w:r>
        <w:rPr>
          <w:spacing w:val="8"/>
        </w:rPr>
        <w:t>万元以上通用设备</w:t>
      </w:r>
      <w:r>
        <w:rPr>
          <w:rFonts w:ascii="Times New Roman" w:hAnsi="Times New Roman" w:eastAsia="Times New Roman" w:cs="Times New Roman"/>
          <w:spacing w:val="8"/>
        </w:rPr>
        <w:t>0</w:t>
      </w:r>
      <w:r>
        <w:rPr>
          <w:spacing w:val="8"/>
        </w:rPr>
        <w:t>套，单位价值</w:t>
      </w:r>
      <w:r>
        <w:rPr>
          <w:rFonts w:ascii="Times New Roman" w:hAnsi="Times New Roman" w:eastAsia="Times New Roman" w:cs="Times New Roman"/>
          <w:spacing w:val="8"/>
        </w:rPr>
        <w:t>100</w:t>
      </w:r>
      <w:r>
        <w:rPr>
          <w:spacing w:val="8"/>
        </w:rPr>
        <w:t>万元以上专</w:t>
      </w:r>
      <w:r>
        <w:rPr>
          <w:rFonts w:hint="eastAsia"/>
          <w:spacing w:val="4"/>
          <w:lang w:eastAsia="zh-CN"/>
        </w:rPr>
        <w:t>用设备0套。</w:t>
      </w:r>
    </w:p>
    <w:p>
      <w:pPr>
        <w:pStyle w:val="2"/>
        <w:spacing w:before="219" w:line="357" w:lineRule="auto"/>
        <w:ind w:left="17" w:right="60" w:firstLine="618"/>
        <w:jc w:val="both"/>
        <w:rPr>
          <w:rFonts w:hint="eastAsia"/>
          <w:b/>
          <w:bCs/>
          <w:spacing w:val="4"/>
          <w:lang w:eastAsia="zh-CN"/>
        </w:rPr>
      </w:pPr>
      <w:r>
        <w:rPr>
          <w:rFonts w:hint="eastAsia"/>
          <w:b/>
          <w:bCs/>
          <w:spacing w:val="4"/>
          <w:lang w:eastAsia="zh-CN"/>
        </w:rPr>
        <w:t>（五）专项转移支付项目情况</w:t>
      </w:r>
    </w:p>
    <w:p>
      <w:pPr>
        <w:pStyle w:val="2"/>
        <w:spacing w:before="219" w:line="357" w:lineRule="auto"/>
        <w:ind w:left="17" w:right="60" w:firstLine="618"/>
        <w:jc w:val="both"/>
        <w:rPr>
          <w:rFonts w:hint="eastAsia"/>
          <w:spacing w:val="4"/>
          <w:lang w:val="en-US" w:eastAsia="en-US"/>
        </w:rPr>
        <w:sectPr>
          <w:footerReference r:id="rId6" w:type="default"/>
          <w:pgSz w:w="11906" w:h="16839"/>
          <w:pgMar w:top="1274" w:right="1531" w:bottom="1126" w:left="1552" w:header="0" w:footer="848" w:gutter="0"/>
          <w:cols w:space="720" w:num="1"/>
        </w:sectPr>
      </w:pPr>
      <w:r>
        <w:rPr>
          <w:rFonts w:hint="eastAsia"/>
          <w:spacing w:val="4"/>
          <w:lang w:eastAsia="zh-CN"/>
        </w:rPr>
        <w:t>洛龙区古城街道办事处2022年无负责管理的专项转移支付项目。</w:t>
      </w:r>
    </w:p>
    <w:p>
      <w:pPr>
        <w:spacing w:before="113" w:line="227" w:lineRule="auto"/>
        <w:ind w:left="3693"/>
        <w:rPr>
          <w:rFonts w:ascii="黑体" w:hAnsi="黑体" w:eastAsia="黑体" w:cs="黑体"/>
          <w:sz w:val="35"/>
          <w:szCs w:val="35"/>
        </w:rPr>
      </w:pPr>
      <w:r>
        <w:rPr>
          <w:rFonts w:ascii="黑体" w:hAnsi="黑体" w:eastAsia="黑体" w:cs="黑体"/>
          <w:spacing w:val="6"/>
          <w:sz w:val="35"/>
          <w:szCs w:val="35"/>
        </w:rPr>
        <w:t>第三部分</w:t>
      </w:r>
    </w:p>
    <w:p>
      <w:pPr>
        <w:spacing w:before="204" w:line="225" w:lineRule="auto"/>
        <w:ind w:left="3772"/>
        <w:rPr>
          <w:rFonts w:ascii="宋体" w:hAnsi="宋体" w:eastAsia="宋体" w:cs="宋体"/>
          <w:sz w:val="31"/>
          <w:szCs w:val="31"/>
        </w:rPr>
      </w:pPr>
      <w:r>
        <w:rPr>
          <w:rFonts w:ascii="宋体" w:hAnsi="宋体" w:eastAsia="宋体" w:cs="宋体"/>
          <w:b/>
          <w:bCs/>
          <w:spacing w:val="3"/>
          <w:sz w:val="31"/>
          <w:szCs w:val="31"/>
        </w:rPr>
        <w:t>名词解释</w:t>
      </w:r>
    </w:p>
    <w:p>
      <w:pPr>
        <w:adjustRightInd w:val="0"/>
        <w:snapToGrid w:val="0"/>
        <w:spacing w:line="600" w:lineRule="exact"/>
        <w:rPr>
          <w:rFonts w:hint="eastAsia" w:ascii="Times New Roman" w:hAnsi="Times New Roman" w:eastAsia="仿宋_GB2312"/>
          <w:sz w:val="32"/>
          <w:szCs w:val="32"/>
        </w:rPr>
      </w:pPr>
    </w:p>
    <w:p>
      <w:pPr>
        <w:pStyle w:val="2"/>
        <w:spacing w:before="101" w:line="600" w:lineRule="exact"/>
        <w:ind w:right="70"/>
        <w:jc w:val="right"/>
      </w:pPr>
      <w:r>
        <w:rPr>
          <w:spacing w:val="4"/>
          <w:position w:val="21"/>
        </w:rPr>
        <w:t>一、财政拨款收入：是指同级财政拨付的资金：包括一般公</w:t>
      </w:r>
    </w:p>
    <w:p>
      <w:pPr>
        <w:pStyle w:val="2"/>
        <w:spacing w:before="1" w:line="225" w:lineRule="auto"/>
        <w:ind w:left="8"/>
      </w:pPr>
      <w:r>
        <w:rPr>
          <w:spacing w:val="6"/>
        </w:rPr>
        <w:t>共预算拨款、政府性基金预算拨款、</w:t>
      </w:r>
      <w:r>
        <w:rPr>
          <w:spacing w:val="-91"/>
        </w:rPr>
        <w:t xml:space="preserve"> </w:t>
      </w:r>
      <w:r>
        <w:rPr>
          <w:spacing w:val="6"/>
        </w:rPr>
        <w:t>国有资本经营预算拨款。</w:t>
      </w:r>
    </w:p>
    <w:p>
      <w:pPr>
        <w:pStyle w:val="2"/>
        <w:spacing w:before="221" w:line="600" w:lineRule="exact"/>
        <w:ind w:right="68"/>
        <w:jc w:val="right"/>
      </w:pPr>
      <w:r>
        <w:rPr>
          <w:spacing w:val="4"/>
          <w:position w:val="21"/>
        </w:rPr>
        <w:t>二、事业收入：是指事业单位开展专业活动及辅助活动所取</w:t>
      </w:r>
    </w:p>
    <w:p>
      <w:pPr>
        <w:pStyle w:val="2"/>
        <w:spacing w:before="1" w:line="227" w:lineRule="auto"/>
        <w:ind w:left="1"/>
      </w:pPr>
      <w:r>
        <w:rPr>
          <w:spacing w:val="3"/>
        </w:rPr>
        <w:t>得的收入。</w:t>
      </w:r>
    </w:p>
    <w:p>
      <w:pPr>
        <w:pStyle w:val="2"/>
        <w:spacing w:before="217" w:line="600" w:lineRule="exact"/>
        <w:ind w:right="1"/>
        <w:jc w:val="right"/>
        <w:rPr>
          <w:rFonts w:ascii="Times New Roman" w:hAnsi="Times New Roman" w:eastAsia="Times New Roman" w:cs="Times New Roman"/>
        </w:rPr>
      </w:pPr>
      <w:r>
        <w:rPr>
          <w:spacing w:val="5"/>
          <w:position w:val="21"/>
        </w:rPr>
        <w:t>三、其他收入：是指单位取得的除</w:t>
      </w:r>
      <w:r>
        <w:rPr>
          <w:rFonts w:ascii="Times New Roman" w:hAnsi="Times New Roman" w:eastAsia="Times New Roman" w:cs="Times New Roman"/>
          <w:spacing w:val="5"/>
          <w:position w:val="21"/>
        </w:rPr>
        <w:t>“</w:t>
      </w:r>
      <w:r>
        <w:rPr>
          <w:rFonts w:ascii="Times New Roman" w:hAnsi="Times New Roman" w:eastAsia="Times New Roman" w:cs="Times New Roman"/>
          <w:spacing w:val="-37"/>
          <w:position w:val="21"/>
        </w:rPr>
        <w:t xml:space="preserve"> </w:t>
      </w:r>
      <w:r>
        <w:rPr>
          <w:spacing w:val="5"/>
          <w:position w:val="21"/>
        </w:rPr>
        <w:t>财政拨款</w:t>
      </w:r>
      <w:r>
        <w:rPr>
          <w:rFonts w:ascii="Times New Roman" w:hAnsi="Times New Roman" w:eastAsia="Times New Roman" w:cs="Times New Roman"/>
          <w:spacing w:val="5"/>
          <w:position w:val="21"/>
        </w:rPr>
        <w:t>”</w:t>
      </w:r>
      <w:r>
        <w:rPr>
          <w:rFonts w:ascii="Times New Roman" w:hAnsi="Times New Roman" w:eastAsia="Times New Roman" w:cs="Times New Roman"/>
          <w:spacing w:val="-32"/>
          <w:position w:val="21"/>
        </w:rPr>
        <w:t xml:space="preserve"> </w:t>
      </w:r>
      <w:r>
        <w:rPr>
          <w:spacing w:val="5"/>
          <w:position w:val="21"/>
        </w:rPr>
        <w:t>、</w:t>
      </w:r>
      <w:r>
        <w:rPr>
          <w:rFonts w:ascii="Times New Roman" w:hAnsi="Times New Roman" w:eastAsia="Times New Roman" w:cs="Times New Roman"/>
          <w:spacing w:val="5"/>
          <w:position w:val="21"/>
        </w:rPr>
        <w:t>“</w:t>
      </w:r>
      <w:r>
        <w:rPr>
          <w:rFonts w:ascii="Times New Roman" w:hAnsi="Times New Roman" w:eastAsia="Times New Roman" w:cs="Times New Roman"/>
          <w:spacing w:val="-56"/>
          <w:position w:val="21"/>
        </w:rPr>
        <w:t xml:space="preserve"> </w:t>
      </w:r>
      <w:r>
        <w:rPr>
          <w:spacing w:val="5"/>
          <w:position w:val="21"/>
        </w:rPr>
        <w:t>事业收入</w:t>
      </w:r>
      <w:r>
        <w:rPr>
          <w:rFonts w:ascii="Times New Roman" w:hAnsi="Times New Roman" w:eastAsia="Times New Roman" w:cs="Times New Roman"/>
          <w:spacing w:val="5"/>
          <w:position w:val="21"/>
        </w:rPr>
        <w:t>”</w:t>
      </w:r>
    </w:p>
    <w:p>
      <w:pPr>
        <w:pStyle w:val="2"/>
        <w:spacing w:before="1" w:line="226" w:lineRule="auto"/>
        <w:ind w:left="23"/>
      </w:pPr>
      <w:r>
        <w:rPr>
          <w:spacing w:val="3"/>
        </w:rPr>
        <w:t>、</w:t>
      </w:r>
      <w:r>
        <w:rPr>
          <w:rFonts w:ascii="Times New Roman" w:hAnsi="Times New Roman" w:eastAsia="Times New Roman" w:cs="Times New Roman"/>
          <w:spacing w:val="3"/>
        </w:rPr>
        <w:t>“</w:t>
      </w:r>
      <w:r>
        <w:rPr>
          <w:rFonts w:ascii="Times New Roman" w:hAnsi="Times New Roman" w:eastAsia="Times New Roman" w:cs="Times New Roman"/>
          <w:spacing w:val="-53"/>
        </w:rPr>
        <w:t xml:space="preserve"> </w:t>
      </w:r>
      <w:r>
        <w:rPr>
          <w:spacing w:val="3"/>
        </w:rPr>
        <w:t>事业单位经营收入</w:t>
      </w:r>
      <w:r>
        <w:rPr>
          <w:rFonts w:ascii="Times New Roman" w:hAnsi="Times New Roman" w:eastAsia="Times New Roman" w:cs="Times New Roman"/>
          <w:spacing w:val="3"/>
        </w:rPr>
        <w:t>”</w:t>
      </w:r>
      <w:r>
        <w:rPr>
          <w:rFonts w:ascii="Times New Roman" w:hAnsi="Times New Roman" w:eastAsia="Times New Roman" w:cs="Times New Roman"/>
          <w:spacing w:val="-45"/>
        </w:rPr>
        <w:t xml:space="preserve"> </w:t>
      </w:r>
      <w:r>
        <w:rPr>
          <w:spacing w:val="3"/>
        </w:rPr>
        <w:t>等以外的收入。</w:t>
      </w:r>
    </w:p>
    <w:p>
      <w:pPr>
        <w:pStyle w:val="2"/>
        <w:spacing w:before="222" w:line="357" w:lineRule="auto"/>
        <w:ind w:left="1" w:right="67" w:firstLine="677"/>
      </w:pPr>
      <w:r>
        <w:rPr>
          <w:spacing w:val="8"/>
        </w:rPr>
        <w:t>四、用事业基金弥补收支差额：是指事业单位在当年的</w:t>
      </w:r>
      <w:r>
        <w:rPr>
          <w:rFonts w:ascii="Times New Roman" w:hAnsi="Times New Roman" w:eastAsia="Times New Roman" w:cs="Times New Roman"/>
          <w:spacing w:val="8"/>
        </w:rPr>
        <w:t>“</w:t>
      </w:r>
      <w:r>
        <w:rPr>
          <w:rFonts w:ascii="Times New Roman" w:hAnsi="Times New Roman" w:eastAsia="Times New Roman" w:cs="Times New Roman"/>
          <w:spacing w:val="-30"/>
        </w:rPr>
        <w:t xml:space="preserve"> </w:t>
      </w:r>
      <w:r>
        <w:rPr>
          <w:spacing w:val="8"/>
        </w:rPr>
        <w:t>财</w:t>
      </w:r>
      <w:r>
        <w:t xml:space="preserve"> </w:t>
      </w:r>
      <w:r>
        <w:rPr>
          <w:spacing w:val="-1"/>
        </w:rPr>
        <w:t>政拨款收入</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rFonts w:ascii="Times New Roman" w:hAnsi="Times New Roman" w:eastAsia="Times New Roman" w:cs="Times New Roman"/>
          <w:spacing w:val="-37"/>
        </w:rPr>
        <w:t xml:space="preserve"> </w:t>
      </w:r>
      <w:r>
        <w:rPr>
          <w:spacing w:val="-1"/>
        </w:rPr>
        <w:t>事业收入</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rFonts w:ascii="Times New Roman" w:hAnsi="Times New Roman" w:eastAsia="Times New Roman" w:cs="Times New Roman"/>
          <w:spacing w:val="-56"/>
        </w:rPr>
        <w:t xml:space="preserve"> </w:t>
      </w:r>
      <w:r>
        <w:rPr>
          <w:spacing w:val="-1"/>
        </w:rPr>
        <w:t>经营收入</w:t>
      </w:r>
      <w:r>
        <w:rPr>
          <w:rFonts w:ascii="Times New Roman" w:hAnsi="Times New Roman" w:eastAsia="Times New Roman" w:cs="Times New Roman"/>
          <w:spacing w:val="-1"/>
        </w:rPr>
        <w:t>”</w:t>
      </w:r>
      <w:r>
        <w:rPr>
          <w:rFonts w:ascii="Times New Roman" w:hAnsi="Times New Roman" w:eastAsia="Times New Roman" w:cs="Times New Roman"/>
          <w:spacing w:val="-56"/>
        </w:rPr>
        <w:t xml:space="preserve"> </w:t>
      </w:r>
      <w:r>
        <w:rPr>
          <w:spacing w:val="-1"/>
        </w:rPr>
        <w:t>和</w:t>
      </w:r>
      <w:r>
        <w:rPr>
          <w:rFonts w:ascii="Times New Roman" w:hAnsi="Times New Roman" w:eastAsia="Times New Roman" w:cs="Times New Roman"/>
          <w:spacing w:val="-1"/>
        </w:rPr>
        <w:t>“</w:t>
      </w:r>
      <w:r>
        <w:rPr>
          <w:rFonts w:ascii="Times New Roman" w:hAnsi="Times New Roman" w:eastAsia="Times New Roman" w:cs="Times New Roman"/>
          <w:spacing w:val="-54"/>
        </w:rPr>
        <w:t xml:space="preserve"> </w:t>
      </w:r>
      <w:r>
        <w:rPr>
          <w:spacing w:val="-1"/>
        </w:rPr>
        <w:t>其他收入</w:t>
      </w:r>
      <w:r>
        <w:rPr>
          <w:rFonts w:ascii="Times New Roman" w:hAnsi="Times New Roman" w:eastAsia="Times New Roman" w:cs="Times New Roman"/>
          <w:spacing w:val="-1"/>
        </w:rPr>
        <w:t>”</w:t>
      </w:r>
      <w:r>
        <w:rPr>
          <w:rFonts w:ascii="Times New Roman" w:hAnsi="Times New Roman" w:eastAsia="Times New Roman" w:cs="Times New Roman"/>
          <w:spacing w:val="-48"/>
        </w:rPr>
        <w:t xml:space="preserve"> </w:t>
      </w:r>
      <w:r>
        <w:rPr>
          <w:spacing w:val="-1"/>
        </w:rPr>
        <w:t>不足以安排</w:t>
      </w:r>
      <w:r>
        <w:t xml:space="preserve"> </w:t>
      </w:r>
      <w:r>
        <w:rPr>
          <w:spacing w:val="5"/>
        </w:rPr>
        <w:t>当年支出的情况下，使用以前年度积累的事业基金（即事业</w:t>
      </w:r>
      <w:r>
        <w:rPr>
          <w:spacing w:val="4"/>
        </w:rPr>
        <w:t>单位</w:t>
      </w:r>
      <w:r>
        <w:t xml:space="preserve"> </w:t>
      </w:r>
      <w:r>
        <w:rPr>
          <w:spacing w:val="5"/>
        </w:rPr>
        <w:t>以前各年度收支相抵后，按国家规定提取、用于弥补以后年度收</w:t>
      </w:r>
    </w:p>
    <w:p>
      <w:pPr>
        <w:pStyle w:val="2"/>
        <w:spacing w:line="227" w:lineRule="auto"/>
      </w:pPr>
      <w:r>
        <w:rPr>
          <w:spacing w:val="8"/>
        </w:rPr>
        <w:t>支差额的基金）弥补当年收支缺口的资金。</w:t>
      </w:r>
    </w:p>
    <w:p>
      <w:pPr>
        <w:pStyle w:val="2"/>
        <w:spacing w:before="219" w:line="600" w:lineRule="exact"/>
        <w:ind w:right="68"/>
        <w:jc w:val="right"/>
      </w:pPr>
      <w:r>
        <w:rPr>
          <w:spacing w:val="4"/>
          <w:position w:val="21"/>
        </w:rPr>
        <w:t>五、基本支出：是指为保障机构正常运转、完成日常工作任</w:t>
      </w:r>
    </w:p>
    <w:p>
      <w:pPr>
        <w:pStyle w:val="2"/>
        <w:spacing w:before="1" w:line="227" w:lineRule="auto"/>
        <w:jc w:val="right"/>
      </w:pPr>
      <w:r>
        <w:rPr>
          <w:spacing w:val="7"/>
        </w:rPr>
        <w:t>务所必需的开支，其内容包括人员经费和日常公用经费两部分。</w:t>
      </w:r>
    </w:p>
    <w:p>
      <w:pPr>
        <w:pStyle w:val="2"/>
        <w:spacing w:before="218" w:line="600" w:lineRule="exact"/>
        <w:ind w:right="68"/>
        <w:jc w:val="right"/>
      </w:pPr>
      <w:r>
        <w:rPr>
          <w:spacing w:val="4"/>
          <w:position w:val="21"/>
        </w:rPr>
        <w:t>六、项目支出：是指在基本支出之外，为完成特定的行政工</w:t>
      </w:r>
    </w:p>
    <w:p>
      <w:pPr>
        <w:pStyle w:val="2"/>
        <w:spacing w:before="1" w:line="225" w:lineRule="auto"/>
        <w:ind w:left="5"/>
      </w:pPr>
      <w:r>
        <w:rPr>
          <w:spacing w:val="7"/>
        </w:rPr>
        <w:t>作任务或事业发展目标所发生的支出。</w:t>
      </w:r>
    </w:p>
    <w:p>
      <w:pPr>
        <w:pStyle w:val="2"/>
        <w:spacing w:before="222" w:line="357" w:lineRule="auto"/>
        <w:ind w:left="1" w:right="68" w:firstLine="645"/>
      </w:pPr>
      <w:r>
        <w:rPr>
          <w:spacing w:val="3"/>
        </w:rPr>
        <w:t>七、</w:t>
      </w:r>
      <w:r>
        <w:rPr>
          <w:rFonts w:ascii="Times New Roman" w:hAnsi="Times New Roman" w:eastAsia="Times New Roman" w:cs="Times New Roman"/>
          <w:spacing w:val="3"/>
        </w:rPr>
        <w:t>“</w:t>
      </w:r>
      <w:r>
        <w:rPr>
          <w:rFonts w:ascii="Times New Roman" w:hAnsi="Times New Roman" w:eastAsia="Times New Roman" w:cs="Times New Roman"/>
          <w:spacing w:val="-31"/>
        </w:rPr>
        <w:t xml:space="preserve"> </w:t>
      </w:r>
      <w:r>
        <w:rPr>
          <w:spacing w:val="3"/>
        </w:rPr>
        <w:t>三公</w:t>
      </w:r>
      <w:r>
        <w:rPr>
          <w:rFonts w:ascii="Times New Roman" w:hAnsi="Times New Roman" w:eastAsia="Times New Roman" w:cs="Times New Roman"/>
          <w:spacing w:val="3"/>
        </w:rPr>
        <w:t>”</w:t>
      </w:r>
      <w:r>
        <w:rPr>
          <w:rFonts w:ascii="Times New Roman" w:hAnsi="Times New Roman" w:eastAsia="Times New Roman" w:cs="Times New Roman"/>
          <w:spacing w:val="-56"/>
        </w:rPr>
        <w:t xml:space="preserve"> </w:t>
      </w:r>
      <w:r>
        <w:rPr>
          <w:spacing w:val="3"/>
        </w:rPr>
        <w:t>经费：是指纳入同级财政预算管理，单位使用财</w:t>
      </w:r>
      <w:r>
        <w:t xml:space="preserve"> </w:t>
      </w:r>
      <w:r>
        <w:rPr>
          <w:spacing w:val="5"/>
        </w:rPr>
        <w:t>政拨款安排的因公出国（境）费、公务用车购置及运行费和公务</w:t>
      </w:r>
      <w:r>
        <w:t xml:space="preserve"> </w:t>
      </w:r>
      <w:r>
        <w:rPr>
          <w:spacing w:val="5"/>
        </w:rPr>
        <w:t>接待费。其中，因公出国（境）费反映单位公务出国（境）</w:t>
      </w:r>
      <w:r>
        <w:rPr>
          <w:spacing w:val="4"/>
        </w:rPr>
        <w:t>的住</w:t>
      </w:r>
    </w:p>
    <w:p>
      <w:pPr>
        <w:pStyle w:val="2"/>
        <w:spacing w:before="2" w:line="224" w:lineRule="auto"/>
        <w:ind w:left="2"/>
      </w:pPr>
      <w:r>
        <w:rPr>
          <w:spacing w:val="5"/>
        </w:rPr>
        <w:t>宿费、差旅费、伙食补助费、杂费、培训费等支出；公</w:t>
      </w:r>
      <w:r>
        <w:rPr>
          <w:spacing w:val="4"/>
        </w:rPr>
        <w:t>务用车购</w:t>
      </w:r>
    </w:p>
    <w:p>
      <w:pPr>
        <w:spacing w:line="224" w:lineRule="auto"/>
        <w:sectPr>
          <w:footerReference r:id="rId7" w:type="default"/>
          <w:pgSz w:w="11906" w:h="16839"/>
          <w:pgMar w:top="1431" w:right="1463" w:bottom="1126" w:left="1552" w:header="0" w:footer="848" w:gutter="0"/>
          <w:cols w:space="720" w:num="1"/>
        </w:sectPr>
      </w:pPr>
    </w:p>
    <w:p>
      <w:pPr>
        <w:pStyle w:val="2"/>
        <w:spacing w:before="66" w:line="357" w:lineRule="auto"/>
        <w:ind w:left="23" w:hanging="22"/>
        <w:jc w:val="both"/>
      </w:pPr>
      <w:r>
        <w:rPr>
          <w:spacing w:val="5"/>
        </w:rPr>
        <w:t>置及运行费反映单位公务用车购置费及租用费、燃料费、维修费</w:t>
      </w:r>
      <w:r>
        <w:t xml:space="preserve"> </w:t>
      </w:r>
      <w:r>
        <w:rPr>
          <w:spacing w:val="4"/>
        </w:rPr>
        <w:t>、过路过桥费、保险费、安全奖励费用等支出；公务接待费反映</w:t>
      </w:r>
    </w:p>
    <w:p>
      <w:pPr>
        <w:pStyle w:val="2"/>
        <w:spacing w:line="226" w:lineRule="auto"/>
        <w:ind w:left="6"/>
      </w:pPr>
      <w:r>
        <w:rPr>
          <w:spacing w:val="8"/>
        </w:rPr>
        <w:t>单位按规定开支的各类公务接待（含外宾接待）支出。</w:t>
      </w:r>
    </w:p>
    <w:p>
      <w:pPr>
        <w:pStyle w:val="2"/>
        <w:spacing w:before="222" w:line="357" w:lineRule="auto"/>
        <w:ind w:firstLine="639"/>
        <w:jc w:val="both"/>
      </w:pPr>
      <w:r>
        <w:rPr>
          <w:spacing w:val="4"/>
        </w:rPr>
        <w:t>八、行政（事业）单位机构运行经费：是指为保障行政单位</w:t>
      </w:r>
      <w:r>
        <w:rPr>
          <w:spacing w:val="17"/>
        </w:rPr>
        <w:t xml:space="preserve"> </w:t>
      </w:r>
      <w:r>
        <w:rPr>
          <w:spacing w:val="5"/>
        </w:rPr>
        <w:t>（包括行政单位和事业单位）运行用于购买货物和服务的各项资</w:t>
      </w:r>
      <w:r>
        <w:rPr>
          <w:spacing w:val="1"/>
        </w:rPr>
        <w:t xml:space="preserve"> </w:t>
      </w:r>
      <w:r>
        <w:rPr>
          <w:spacing w:val="2"/>
        </w:rPr>
        <w:t>金，包括办公及印刷费、邮电费、差旅费、会议费、福利费、</w:t>
      </w:r>
      <w:r>
        <w:rPr>
          <w:spacing w:val="-70"/>
        </w:rPr>
        <w:t xml:space="preserve"> </w:t>
      </w:r>
      <w:r>
        <w:rPr>
          <w:spacing w:val="2"/>
        </w:rPr>
        <w:t>日</w:t>
      </w:r>
      <w:r>
        <w:t xml:space="preserve"> </w:t>
      </w:r>
      <w:r>
        <w:rPr>
          <w:spacing w:val="5"/>
        </w:rPr>
        <w:t>常维修费及一般设备购置费、办公用房水电费、办公用房取暖费</w:t>
      </w:r>
    </w:p>
    <w:p>
      <w:pPr>
        <w:pStyle w:val="2"/>
        <w:spacing w:before="1" w:line="224" w:lineRule="auto"/>
        <w:ind w:left="23"/>
      </w:pPr>
      <w:r>
        <w:rPr>
          <w:spacing w:val="8"/>
        </w:rPr>
        <w:t>、办公用房物业管理费、公务用车运行维护费以及</w:t>
      </w:r>
      <w:r>
        <w:rPr>
          <w:spacing w:val="7"/>
        </w:rPr>
        <w:t>其他费用。</w:t>
      </w:r>
    </w:p>
    <w:p>
      <w:pPr>
        <w:spacing w:line="358" w:lineRule="auto"/>
        <w:rPr>
          <w:rFonts w:ascii="Arial"/>
          <w:sz w:val="21"/>
        </w:rPr>
      </w:pPr>
    </w:p>
    <w:p>
      <w:pPr>
        <w:spacing w:line="359" w:lineRule="auto"/>
        <w:rPr>
          <w:rFonts w:ascii="Arial"/>
          <w:sz w:val="21"/>
        </w:rPr>
      </w:pPr>
    </w:p>
    <w:p>
      <w:pPr>
        <w:pStyle w:val="2"/>
        <w:spacing w:before="101" w:line="227" w:lineRule="auto"/>
        <w:ind w:left="654"/>
        <w:rPr>
          <w:rFonts w:ascii="Times New Roman" w:hAnsi="Times New Roman" w:eastAsia="Times New Roman" w:cs="Times New Roman"/>
          <w:b/>
          <w:bCs/>
          <w:spacing w:val="3"/>
        </w:rPr>
      </w:pPr>
      <w:r>
        <w:rPr>
          <w:rFonts w:ascii="Times New Roman" w:hAnsi="Times New Roman" w:eastAsia="Times New Roman" w:cs="Times New Roman"/>
          <w:b/>
          <w:bCs/>
          <w:spacing w:val="3"/>
        </w:rPr>
        <w:t>附件：</w:t>
      </w:r>
      <w:r>
        <w:rPr>
          <w:rFonts w:ascii="Times New Roman" w:hAnsi="Times New Roman" w:eastAsia="Times New Roman" w:cs="Times New Roman"/>
          <w:b/>
          <w:bCs/>
          <w:spacing w:val="3"/>
        </w:rPr>
        <w:t>2022 年洛龙区</w:t>
      </w:r>
      <w:r>
        <w:rPr>
          <w:rFonts w:hint="eastAsia" w:ascii="Times New Roman" w:hAnsi="Times New Roman" w:eastAsia="宋体" w:cs="Times New Roman"/>
          <w:b/>
          <w:bCs/>
          <w:spacing w:val="3"/>
          <w:lang w:eastAsia="zh-CN"/>
        </w:rPr>
        <w:t>古城街道办事处</w:t>
      </w:r>
      <w:r>
        <w:rPr>
          <w:rFonts w:ascii="Times New Roman" w:hAnsi="Times New Roman" w:eastAsia="Times New Roman" w:cs="Times New Roman"/>
          <w:b/>
          <w:bCs/>
          <w:spacing w:val="3"/>
        </w:rPr>
        <w:t>预算表</w:t>
      </w:r>
    </w:p>
    <w:p>
      <w:pPr>
        <w:pStyle w:val="2"/>
        <w:spacing w:before="101" w:line="227" w:lineRule="auto"/>
        <w:ind w:left="654"/>
        <w:rPr>
          <w:rFonts w:ascii="Times New Roman" w:hAnsi="Times New Roman" w:eastAsia="Times New Roman" w:cs="Times New Roman"/>
          <w:b/>
          <w:bCs/>
          <w:spacing w:val="3"/>
        </w:rPr>
        <w:sectPr>
          <w:footerReference r:id="rId8" w:type="default"/>
          <w:pgSz w:w="11906" w:h="16839"/>
          <w:pgMar w:top="1274" w:right="1530" w:bottom="1126" w:left="1552" w:header="0" w:footer="848" w:gutter="0"/>
          <w:cols w:space="720" w:num="1"/>
        </w:sectPr>
      </w:pPr>
    </w:p>
    <w:tbl>
      <w:tblPr>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75"/>
        <w:gridCol w:w="1532"/>
        <w:gridCol w:w="307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9146" w:type="dxa"/>
            <w:gridSpan w:val="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9146"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3080"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4613"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453"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w:t>
            </w:r>
          </w:p>
        </w:tc>
        <w:tc>
          <w:tcPr>
            <w:tcW w:w="45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项目  </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金额  </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项目  </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四、财政专户管理资金收入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五、事业收入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六、事业单位经营收入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七、文化旅游体育与传媒</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七、上级补助收入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八、附属单位上缴收入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九、社会保险基金支出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九、其他收入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收 入 合 计</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支 出 合 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年终结转结余</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 入 总 计</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 出 总 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r>
    </w:tbl>
    <w:p>
      <w:pPr>
        <w:adjustRightInd w:val="0"/>
        <w:snapToGrid w:val="0"/>
        <w:spacing w:line="600" w:lineRule="exact"/>
        <w:rPr>
          <w:rFonts w:hint="eastAsia" w:ascii="Times New Roman" w:hAnsi="Times New Roman" w:eastAsia="仿宋_GB2312"/>
          <w:sz w:val="32"/>
          <w:szCs w:val="32"/>
        </w:rPr>
        <w:sectPr>
          <w:footerReference r:id="rId9" w:type="default"/>
          <w:pgSz w:w="11906" w:h="16839"/>
          <w:pgMar w:top="1231" w:right="1419" w:bottom="1124" w:left="1552" w:header="0" w:footer="848" w:gutter="0"/>
          <w:cols w:space="720" w:num="1"/>
        </w:sectPr>
      </w:pPr>
    </w:p>
    <w:tbl>
      <w:tblPr>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8"/>
        <w:gridCol w:w="1985"/>
        <w:gridCol w:w="1188"/>
        <w:gridCol w:w="1188"/>
        <w:gridCol w:w="1188"/>
        <w:gridCol w:w="1188"/>
        <w:gridCol w:w="428"/>
        <w:gridCol w:w="428"/>
        <w:gridCol w:w="428"/>
        <w:gridCol w:w="428"/>
        <w:gridCol w:w="428"/>
        <w:gridCol w:w="428"/>
        <w:gridCol w:w="459"/>
        <w:gridCol w:w="431"/>
        <w:gridCol w:w="428"/>
        <w:gridCol w:w="428"/>
        <w:gridCol w:w="469"/>
        <w:gridCol w:w="428"/>
        <w:gridCol w:w="509"/>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4420" w:type="dxa"/>
            <w:gridSpan w:val="20"/>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14420" w:type="dxa"/>
            <w:gridSpan w:val="20"/>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6" w:hRule="atLeast"/>
        </w:trPr>
        <w:tc>
          <w:tcPr>
            <w:tcW w:w="1338"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2457" w:type="dxa"/>
            <w:gridSpan w:val="18"/>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625"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部门（单位）代码</w:t>
            </w:r>
          </w:p>
        </w:tc>
        <w:tc>
          <w:tcPr>
            <w:tcW w:w="19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部门（单位）名称</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7022"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本年收入</w:t>
            </w:r>
          </w:p>
        </w:tc>
        <w:tc>
          <w:tcPr>
            <w:tcW w:w="288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3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4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4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5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6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462"/>
        <w:gridCol w:w="463"/>
        <w:gridCol w:w="963"/>
        <w:gridCol w:w="1909"/>
        <w:gridCol w:w="1101"/>
        <w:gridCol w:w="1100"/>
        <w:gridCol w:w="1187"/>
        <w:gridCol w:w="1162"/>
        <w:gridCol w:w="1099"/>
        <w:gridCol w:w="489"/>
        <w:gridCol w:w="1312"/>
        <w:gridCol w:w="1476"/>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446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1446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389"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817"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254"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89"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9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19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1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404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5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4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行政运行</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297.64</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28.10</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其他政府办公厅（室）及相关机构事务支出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招商引资</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基层司法业务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科普活动</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其他文化和旅游支出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其他民政管理事务支出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行政单位离退休</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临时救助支出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突发公共卫生事件应急处理</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行政单位医疗</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大气</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城乡社区环境卫生</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对村民委员会和村党支部的补助</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安全监管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64"/>
        <w:gridCol w:w="1130"/>
        <w:gridCol w:w="2965"/>
        <w:gridCol w:w="1476"/>
        <w:gridCol w:w="1476"/>
        <w:gridCol w:w="1476"/>
        <w:gridCol w:w="147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440" w:type="dxa"/>
            <w:gridSpan w:val="8"/>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44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9999"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477"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0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  </w:t>
            </w:r>
          </w:p>
        </w:tc>
        <w:tc>
          <w:tcPr>
            <w:tcW w:w="1034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　额</w:t>
            </w:r>
          </w:p>
        </w:tc>
        <w:tc>
          <w:tcPr>
            <w:tcW w:w="29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14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一般公共预算  </w:t>
            </w:r>
          </w:p>
        </w:tc>
        <w:tc>
          <w:tcPr>
            <w:tcW w:w="14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政府性基金  </w:t>
            </w:r>
          </w:p>
        </w:tc>
        <w:tc>
          <w:tcPr>
            <w:tcW w:w="14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小计  </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14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一、本年收入</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其中：财政拨款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二、上年结转</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（七）文化体育旅游与传媒支出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（九）医疗卫生与计划生育支出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二、年终结转结余</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收入合计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支出合计</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0"/>
        <w:gridCol w:w="526"/>
        <w:gridCol w:w="622"/>
        <w:gridCol w:w="837"/>
        <w:gridCol w:w="2212"/>
        <w:gridCol w:w="1542"/>
        <w:gridCol w:w="1052"/>
        <w:gridCol w:w="1052"/>
        <w:gridCol w:w="1052"/>
        <w:gridCol w:w="1052"/>
        <w:gridCol w:w="862"/>
        <w:gridCol w:w="1052"/>
        <w:gridCol w:w="1055"/>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52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52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768"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054"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22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5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07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1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0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1"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行政运行</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297.64</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28.10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其他政府办公厅（室）及相关机构事务支出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招商引资</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204</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基层司法业务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206</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科普活动</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207</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其他文化和旅游支出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其他民政管理事务支出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行政单位离退休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临时救助支出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突发公共卫生事件应急处理</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行政单位医疗</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大气</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212</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城乡社区环境卫生</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213</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对村民委员会和村党支部的补助</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224</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安全监管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57"/>
        <w:gridCol w:w="2627"/>
        <w:gridCol w:w="1349"/>
        <w:gridCol w:w="2626"/>
        <w:gridCol w:w="1958"/>
        <w:gridCol w:w="1962"/>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4440"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4" w:hRule="atLeast"/>
        </w:trPr>
        <w:tc>
          <w:tcPr>
            <w:tcW w:w="1444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957"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0522"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961"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45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部门预算支出经济分类科目</w:t>
            </w:r>
          </w:p>
        </w:tc>
        <w:tc>
          <w:tcPr>
            <w:tcW w:w="39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政府预算支出经济分类科目</w:t>
            </w:r>
          </w:p>
        </w:tc>
        <w:tc>
          <w:tcPr>
            <w:tcW w:w="588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514.32</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津贴补贴</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30199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其他工资福利支出</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30107</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绩效工资</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50101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工资奖金津补贴</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30305</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生活补助</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社会福利和救助</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其他社会保障缴费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基本工资</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30103</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奖金</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30239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其他交通费用</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福利费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30201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办公费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30231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公务用车运行维护费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50208</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30228</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工会经费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30302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退休费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50905</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30299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其他商品和服务支出</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50299</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6"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30108</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机关事业单位基本养老保险缴费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30110</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30113</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住房公积金</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8"/>
        <w:gridCol w:w="1060"/>
        <w:gridCol w:w="993"/>
        <w:gridCol w:w="514"/>
        <w:gridCol w:w="613"/>
        <w:gridCol w:w="1539"/>
        <w:gridCol w:w="1533"/>
        <w:gridCol w:w="1298"/>
        <w:gridCol w:w="1591"/>
        <w:gridCol w:w="534"/>
        <w:gridCol w:w="396"/>
        <w:gridCol w:w="396"/>
        <w:gridCol w:w="396"/>
        <w:gridCol w:w="396"/>
        <w:gridCol w:w="396"/>
        <w:gridCol w:w="396"/>
        <w:gridCol w:w="666"/>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480" w:type="dxa"/>
            <w:gridSpan w:val="18"/>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1448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09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单位名称：  </w:t>
            </w:r>
          </w:p>
        </w:tc>
        <w:tc>
          <w:tcPr>
            <w:tcW w:w="10546" w:type="dxa"/>
            <w:gridSpan w:val="1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841"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30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部门预算经济分类  </w:t>
            </w:r>
          </w:p>
        </w:tc>
        <w:tc>
          <w:tcPr>
            <w:tcW w:w="276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政府预算经济分类</w:t>
            </w:r>
          </w:p>
        </w:tc>
        <w:tc>
          <w:tcPr>
            <w:tcW w:w="1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29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5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3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3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6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8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1"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8"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津贴补贴</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其他工资福利支出</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绩效工资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501</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工资奖金津补贴</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生活补助</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社会福利和救助</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其他社会保障缴费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基本工资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奖金</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其他交通费用</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福利费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工会经费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退休费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32"/>
        <w:gridCol w:w="2332"/>
        <w:gridCol w:w="2333"/>
        <w:gridCol w:w="2332"/>
        <w:gridCol w:w="2333"/>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998" w:type="dxa"/>
            <w:gridSpan w:val="6"/>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98"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9332"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2333"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“三公”经费合计</w:t>
            </w:r>
          </w:p>
        </w:tc>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因公出国（境）费</w:t>
            </w:r>
          </w:p>
        </w:tc>
        <w:tc>
          <w:tcPr>
            <w:tcW w:w="699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公务用车购置及运行费</w:t>
            </w:r>
          </w:p>
        </w:tc>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公务用车购置费</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公务用车运行费</w:t>
            </w:r>
          </w:p>
        </w:tc>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3998"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6"/>
        <w:gridCol w:w="542"/>
        <w:gridCol w:w="566"/>
        <w:gridCol w:w="1004"/>
        <w:gridCol w:w="2090"/>
        <w:gridCol w:w="1321"/>
        <w:gridCol w:w="1309"/>
        <w:gridCol w:w="1242"/>
        <w:gridCol w:w="993"/>
        <w:gridCol w:w="993"/>
        <w:gridCol w:w="996"/>
        <w:gridCol w:w="993"/>
        <w:gridCol w:w="996"/>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1450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9" w:hRule="atLeast"/>
        </w:trPr>
        <w:tc>
          <w:tcPr>
            <w:tcW w:w="1450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1524"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937"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039"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2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10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20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3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53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0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9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0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8"/>
        <w:gridCol w:w="621"/>
        <w:gridCol w:w="649"/>
        <w:gridCol w:w="1150"/>
        <w:gridCol w:w="1319"/>
        <w:gridCol w:w="997"/>
        <w:gridCol w:w="957"/>
        <w:gridCol w:w="1422"/>
        <w:gridCol w:w="1138"/>
        <w:gridCol w:w="1138"/>
        <w:gridCol w:w="1139"/>
        <w:gridCol w:w="1138"/>
        <w:gridCol w:w="1142"/>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1448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 w:hRule="atLeast"/>
        </w:trPr>
        <w:tc>
          <w:tcPr>
            <w:tcW w:w="1448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2022年国有资本经营支出预算表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1748"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540"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92"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1748"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11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13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9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79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47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5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22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1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1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1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1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1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17"/>
        <w:gridCol w:w="2248"/>
        <w:gridCol w:w="1244"/>
        <w:gridCol w:w="1118"/>
        <w:gridCol w:w="1118"/>
        <w:gridCol w:w="1117"/>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9020"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902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117"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7903"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1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类型</w:t>
            </w:r>
          </w:p>
        </w:tc>
        <w:tc>
          <w:tcPr>
            <w:tcW w:w="22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项目名称</w:t>
            </w:r>
          </w:p>
        </w:tc>
        <w:tc>
          <w:tcPr>
            <w:tcW w:w="12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w:t>
            </w:r>
          </w:p>
        </w:tc>
        <w:tc>
          <w:tcPr>
            <w:tcW w:w="11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32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trPr>
        <w:tc>
          <w:tcPr>
            <w:tcW w:w="11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政府性基金预算</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党建经费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机关食堂运行费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公益性岗位、劳务派遣、聘用人员工资及社保</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协税工作经费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水电及大楼维护运行费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村级审计</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办公楼租赁费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党报党刊经征订</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征兵经费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统计专项经费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纪委办案经费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楼宇经济</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工青妇组织经费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司法经费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文化宣传经费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八一慰问</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民政优抚支出</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疫情防控工作经费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环境污染防治经费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创建、卫生保洁经费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村级宗教协理员工资区级配套</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离任村干部工资</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tbl>
      <w:tblPr>
        <w:tblW w:w="14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06"/>
        <w:gridCol w:w="876"/>
        <w:gridCol w:w="756"/>
        <w:gridCol w:w="824"/>
        <w:gridCol w:w="396"/>
        <w:gridCol w:w="1017"/>
        <w:gridCol w:w="1133"/>
        <w:gridCol w:w="992"/>
        <w:gridCol w:w="1275"/>
        <w:gridCol w:w="1609"/>
        <w:gridCol w:w="1133"/>
        <w:gridCol w:w="888"/>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2035" w:type="dxa"/>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876"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730"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824"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382"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017"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133"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992"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275"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609"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133"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888"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579"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473" w:type="dxa"/>
            <w:gridSpan w:val="13"/>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单位编码（项目编码）</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 （项目名称）</w:t>
            </w:r>
          </w:p>
        </w:tc>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项目金额（万元）</w:t>
            </w:r>
          </w:p>
        </w:tc>
        <w:tc>
          <w:tcPr>
            <w:tcW w:w="962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成本指标  </w:t>
            </w: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27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24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8"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资金总额</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政府预算资金</w:t>
            </w: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410311220000000012108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14个区级人大代表资料费用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会议精神贯彻情况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参会人员满意度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代表视查调研活动经费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会议出勤率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参会人员满意度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每月代表联系群众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召开会议及时率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410311220000000015055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综治及平安建设费用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专项宣传活动次数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保障群众安全和减少财产损失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信访稳定经费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宣传资料份数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25000  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群众对信访工作的支持与理解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排查不稳定因素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给辖区内的居民创造一个良好的生活环境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宣传效果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显著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防范化解效果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显著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不稳定因素化解率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按期办结率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阶段性工作完成情况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专项活动定期开展情况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党建经费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制作宣传版费用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学习书籍、办公用品购置</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为群众办实事、服务</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车辆租赁费用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宣传版</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发挥基层党组织的引领作用，更好的服务群众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智慧社区提升费用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车辆租赁</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≥5辆</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小区党支部建设费用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智慧社区提升个数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学习书籍、办公用品 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严格按规章制度办事，保证工作质量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按质完成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按照年度目标，在规定时间内完成工作内容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统计专项经费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城乡一体化记账户补贴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城乡一体化记账户数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及时了解辖区居民可支配收入、消费支出、规模以上企业营业额</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记账户满意度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限下抽样个体、规模以上企业记账补贴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辅调员</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企业满意度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真实准确、及时完整汇总填报各种统计报表，上报率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按照年度计划，在规定时间内完成工作内容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八一慰问</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购买米面油等慰问品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补贴社区数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保障退役军人权益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优抚对象满意度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慰问现役军人家属 慰问每人次1000元现金，共5000元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退役军人确认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准确</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春节慰问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慰问走访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按时完成各项工作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410311220000000015183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党报党刊经征订</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促进经济发展</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持续加强发展</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机关工作人员满意度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河南日报费用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河南日报份数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宣传贯彻十九大、习近平总书记系列讲话精神</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有效宣传</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新华每日电讯费用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新华每日电讯份数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经济日报费用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经济日报份数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光明日报费用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光明日报份数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党报党刊征订任务完成率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按上级要求期限完成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410311220000000015184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司法经费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民调经费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专项宣传活动次数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保障群众安全和减少财产损失</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最大限度减少损失</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人民调解双方当事人满意度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社区矫正经费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宣传资料份数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群众的法治观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普法宣传</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人民调解件数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防范化解效果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良好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专项活动定期开展情况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稳定开展</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安置帮教核查率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410311220000000015190</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办公楼租赁费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学府街税局租房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租赁办公楼数量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≥2栋</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辖区经济服务管理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明显加强</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辖区纳税单位服务评价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龙富小区门面税局租房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支付率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服务辖区纳税企事业单位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持续改进</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项目完成时间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每半年支付一次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完成公共税收任务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持续支持</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机关食堂运行费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食堂所用食材、燃气等费用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就餐人数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保证食堂正常运行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机关干部、职工就餐满意度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燃气费支付月数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对干部职工的后勤保障起到了一定作用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后勤保障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运行时效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14个区级人大代表资料费用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区级人大代表人数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为代表履职创造条件进一步提升人大工作水平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人大代表满意度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代表视查调研活动经费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代表视查调研活动次数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全力推动区委重大决策部署贯彻落实</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每月代表联系群众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代表联系群众次数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各项支出明细化、规范化、合理化覆盖率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按照年度工作计划，按月开展各项活动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离任村干部工资</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严格落实离任村干部生活补贴，确保离任村干部退的舒心、退的体面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严格落实</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离任村干部对经济补贴的满意度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严格按审批流程办事，保证资金的使用透明度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足额</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按照年度计划，进行补贴发放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每季度发放一次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科普宣传活动经费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全年组织居民、青少年教育培训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促进辖区群众全面发展，提高综合素质，为实现小康社会目标奠定基础。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提升明显</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居民满意度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科普培训经费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组织防震减灾日、科普日等宣传活动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倡导科学、健康、文明生活的良好社会氛围。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提升明显</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各类科普场所作用得到发挥，增强居民群众对科普的认同感。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按照时间节点完成科普各项工作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楼宇经济</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楼宇经济、特色商业街区、夜经济3项宣传费用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龙祥商业街（地下通道、洛宜路）学子街商户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≥700户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服务辖区楼宇，挖掘新的经济增长点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企业满意度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入驻企业信息更新管理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"楼宇经济、特色商业街区、夜经济宣传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推动辖区现代服务业快速发展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特色商业街提升改造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辖区内投入使入楼宇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≥6栋</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为辖区企业发展提供良好的生态环境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入驻企业</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真实、准确、及时、完整掌握企业，分类指导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真实准确</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按照年度工作计划，在规定时间人完成工作任务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建立问题台账，分析解决存在问题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双重预防体系建设观摩会费用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双重预防体系建设观摩会场次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促进办事处安全生产形势持续稳定</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有效促进</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辖区企事业单位及居民安全感和满意度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横幅制作费用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横幅条数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为办事处经济社会发展提供更好的安全保障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有序提升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资料印制费用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资料份数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版面制作费用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版面块数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订阅报刊杂志完成率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安全网格员教育、培训完成率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开展各专项检查活动率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安全生产宣传教育完成率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按照上级部门工作安排、年度工作计划，在规定时间内完成工作内容。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村级审计</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社区审计费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做好辖区社区的年度审计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为各社区、居民组节约不合理开支</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明显节约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各社区干部满意度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居民小组审计费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做好辖区居民小组的年度审计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强化审计监督检查力度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每月开展报账员培训会议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有效培训</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每年年底进行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环境污染防治经费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购买防尘网、清洗油烟净化设备、机械租赁等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环境整治次数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建立环保管理长效机制，使辖区环境得到明显改善，污染造成的经济损失减少。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人文景观和美学财富的维护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上级领导满意度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宣传覆盖率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日常巡查和环保夜查长效机制，最大程度减小各类污染源对检测数值的影响。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明显改善</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整治成效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完成时间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410311220000000015227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水电及大楼维护运行费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水电费、大楼日常维护费用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≤16.02万元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水电费、大楼日常维护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行政效益提升情况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后勤物业服务、暖气、互联网费用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≤30.98万元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后勤物业服务、暖气、互联网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机关大楼运行工作情况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正常</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运行时效</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410311220000000015239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村级宗教协理员工资区级配套</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发放标准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在职人数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提升服务水平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协理员满意度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制作条幅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宣传资料</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发放质量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及时足额</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每年发放一次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工青妇组织经费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组织文体活动费用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组织文体活动次数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对开展各项工作提升或改善情况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明显改善</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工青妇对组织活动满意度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会议培训费用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召开会议及培训次数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对保护职工、青年、妇女合法权益提升情况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参加出席率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民政优抚支出</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办事处临时救助经费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1月年度征订中国社会报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提升工作积极性</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困难群众满意度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1月年度征订中国社会报费用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办事处临时救助</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≥24人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制作板面、宣传页、横幅 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制作宣传页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两案人员生活补助费用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两案人员生活补助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对象确定准确和资金落实率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工作完成时限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2021年1-12月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纪委办案经费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印发宣传页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防止国有资产财产流失</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辖区居民满意度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办理案件经费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制作版面</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风清气正的政治环境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逐步提升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办理案件数量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从严治党各项工作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从严治理</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按期办结率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410311220000000015254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创建、卫生保洁经费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创建及卫生保洁费用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创建工作涉及社区数量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辖区环境改善及提升情况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各项宣传费用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国家卫生城市复审提升工作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辖区生态环境情况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巩固国家文明城市提升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完成时间</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410311220000000015257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协税工作经费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宣传及其他支出费用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住宿、医疗、企业的税收摸底调查范围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确保辖区内财政公共收入的完成，做到应收尽收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纳税人对税法宣传知识满意率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辖区企业覆盖率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提高群众纳税意识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宣传参与率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在上级规定的时间内有效完成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410311220000000015264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文化宣传经费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表彰活动所需经费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办事处机关全体人员学习材料、班子成员中心组学习印制份数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通过群众性精神文明创建活动，提高全民思想素质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印刷全体机关人员学习资料等所需经费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办事处于洛阳日报签订宣传合同份数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与洛阳日报签订2021年合同</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指导、组织各社区开展各类文化活动次数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指导、组织各社区开展传统节日、重大活动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道德模范、文明家庭、最美古城人等活动所需费用、展板、展架版面制作以及文明实践所建设次数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活动开展和学习参与率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410311220000000016476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征兵经费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街道武装部组织运转经费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兵役登记、全年征兵 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保障和稳定基层武装部工作正常运转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预征对象及民兵满意度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基干民兵整组工作人数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抢险救灾、应急处突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基干民兵训练人数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武装部建设和物资储备率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武装部工作完成率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全年</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410311220000000016478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公益性岗位、劳务派遣、聘用人员工资及社保</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聘用人数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≥115人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服务保障水平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聘用人员对应享受的合法权益满意度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社保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工资及绩效足额发放率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工资、社保、绩效缴纳及时性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410311220000000020050</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疫情防控工作经费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聘用防疫志愿者</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聘用志愿者人数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为古城辖区有效开展疫情防控工作做好基础保障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卡点防疫人员及小区保安的满意度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购买防疫物资</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购买防疫物资套数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各卡点物资保障率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及时发放疫情保障物资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及时发放</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85"/>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1"/>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60"/>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DFiYmIzNTVkOTZlNGZjYzFjYzFkNzg1ODY3NTYifQ=="/>
  </w:docVars>
  <w:rsids>
    <w:rsidRoot w:val="7DD32A2B"/>
    <w:rsid w:val="7DD3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2023-05-13T06:03:00Z</dcterms:created>
  <dc:creator>栾栾</dc:creator>
  <cp:lastModifiedBy>栾栾</cp:lastModifiedBy>
  <dcterms:modified xsi:type="dcterms:W3CDTF">2023-05-13T06:41:07Z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C3A1C6B912BB4840A923CAE7A40FA183</vt:lpwstr>
  </property>
</Properties>
</file>