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w:t>
      </w:r>
      <w:r>
        <w:rPr>
          <w:rFonts w:hint="eastAsia" w:ascii="黑体" w:hAnsi="黑体" w:eastAsia="黑体" w:cs="黑体"/>
          <w:sz w:val="52"/>
          <w:szCs w:val="52"/>
          <w:lang w:val="en-US" w:eastAsia="zh-CN"/>
        </w:rPr>
        <w:t>20</w:t>
      </w:r>
      <w:r>
        <w:rPr>
          <w:rFonts w:hint="eastAsia" w:ascii="黑体" w:hAnsi="黑体" w:eastAsia="黑体" w:cs="黑体"/>
          <w:sz w:val="52"/>
          <w:szCs w:val="52"/>
        </w:rPr>
        <w:t>年度</w:t>
      </w: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val="en-US" w:eastAsia="zh-CN"/>
        </w:rPr>
        <w:t xml:space="preserve">洛龙区创建全国文明城市工作 </w:t>
      </w:r>
    </w:p>
    <w:p>
      <w:pPr>
        <w:jc w:val="center"/>
        <w:rPr>
          <w:rFonts w:hint="eastAsia" w:ascii="黑体" w:hAnsi="黑体" w:eastAsia="黑体" w:cs="黑体"/>
          <w:sz w:val="52"/>
          <w:szCs w:val="52"/>
        </w:rPr>
      </w:pPr>
      <w:r>
        <w:rPr>
          <w:rFonts w:hint="eastAsia" w:ascii="黑体" w:hAnsi="黑体" w:eastAsia="黑体" w:cs="黑体"/>
          <w:color w:val="auto"/>
          <w:sz w:val="52"/>
          <w:szCs w:val="52"/>
          <w:highlight w:val="none"/>
          <w:lang w:val="en-US" w:eastAsia="zh-CN"/>
        </w:rPr>
        <w:t>指挥部办公室</w:t>
      </w:r>
      <w:r>
        <w:rPr>
          <w:rFonts w:hint="eastAsia" w:ascii="黑体" w:hAnsi="黑体" w:eastAsia="黑体" w:cs="黑体"/>
          <w:sz w:val="52"/>
          <w:szCs w:val="52"/>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highlight w:val="none"/>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eastAsia="zh-CN"/>
        </w:rPr>
        <w:t>一</w:t>
      </w:r>
      <w:r>
        <w:rPr>
          <w:rFonts w:hint="eastAsia" w:ascii="黑体" w:hAnsi="黑体" w:eastAsia="黑体" w:cs="黑体"/>
          <w:sz w:val="32"/>
          <w:szCs w:val="32"/>
        </w:rPr>
        <w:t>年</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洛龙区创建办</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val="en-US" w:eastAsia="zh-CN"/>
        </w:rPr>
        <w:t>洛龙区创建办</w:t>
      </w:r>
      <w:r>
        <w:rPr>
          <w:rFonts w:hint="eastAsia" w:ascii="黑体" w:hAnsi="黑体" w:eastAsia="黑体" w:cs="黑体"/>
          <w:sz w:val="48"/>
          <w:szCs w:val="48"/>
        </w:rPr>
        <w:t>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 xml:space="preserve">洛龙区创建办的主要职能为：负责督促、指导全区创建全 </w:t>
      </w:r>
    </w:p>
    <w:p>
      <w:pPr>
        <w:widowControl/>
        <w:jc w:val="left"/>
        <w:outlineLvl w:val="1"/>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国文明城市工作及创建省级文明城区工作，使我区城市管理秩序及市容环境卫生得到提升,为我市创建全国文明城市工作做出积极贡献。负责本单位突发公共事件的应急管理工作，落实突发公共事件应急预案、预防和处置本单位突发公共事件；落实区委、区政府交办的其他事项。</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洛龙区创建办</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个，包括：</w:t>
      </w:r>
      <w:r>
        <w:rPr>
          <w:rFonts w:hint="eastAsia" w:ascii="仿宋_GB2312" w:hAnsi="仿宋_GB2312" w:eastAsia="仿宋_GB2312" w:cs="仿宋_GB2312"/>
          <w:kern w:val="0"/>
          <w:sz w:val="32"/>
          <w:szCs w:val="32"/>
          <w:lang w:val="en-US" w:eastAsia="zh-CN"/>
        </w:rPr>
        <w:t>综合科</w:t>
      </w:r>
      <w:r>
        <w:rPr>
          <w:rFonts w:hint="eastAsia" w:ascii="仿宋_GB2312" w:hAnsi="仿宋_GB2312" w:eastAsia="仿宋_GB2312" w:cs="仿宋_GB2312"/>
          <w:kern w:val="0"/>
          <w:sz w:val="32"/>
          <w:szCs w:val="32"/>
        </w:rPr>
        <w:t>办公室、</w:t>
      </w:r>
      <w:r>
        <w:rPr>
          <w:rFonts w:hint="eastAsia" w:ascii="仿宋_GB2312" w:hAnsi="仿宋_GB2312" w:eastAsia="仿宋_GB2312" w:cs="仿宋_GB2312"/>
          <w:kern w:val="0"/>
          <w:sz w:val="32"/>
          <w:szCs w:val="32"/>
          <w:lang w:val="en-US" w:eastAsia="zh-CN"/>
        </w:rPr>
        <w:t>督查科办公室。</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从决算单位构成看，洛龙区创建办决算包括：本级决算。</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本决算为汇总决算，</w:t>
      </w:r>
      <w:bookmarkStart w:id="0" w:name="_GoBack"/>
      <w:bookmarkEnd w:id="0"/>
      <w:r>
        <w:rPr>
          <w:rFonts w:hint="eastAsia" w:ascii="仿宋_GB2312" w:hAnsi="仿宋_GB2312" w:eastAsia="仿宋_GB2312" w:cs="仿宋_GB2312"/>
          <w:kern w:val="0"/>
          <w:sz w:val="32"/>
          <w:szCs w:val="32"/>
          <w:lang w:val="en-US" w:eastAsia="zh-CN"/>
        </w:rPr>
        <w:t>纳入本部门2020年度部门决算编制范围的单位共1个，其中二级预算单位0个，具体是：1.洛龙区创建办本级。</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第二部分  </w:t>
      </w:r>
      <w:r>
        <w:rPr>
          <w:rFonts w:hint="eastAsia" w:ascii="黑体" w:hAnsi="黑体" w:eastAsia="黑体" w:cs="黑体"/>
          <w:sz w:val="48"/>
          <w:szCs w:val="48"/>
          <w:lang w:eastAsia="zh-CN"/>
        </w:rPr>
        <w:t>2020</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5"/>
        <w:tblW w:w="13459" w:type="dxa"/>
        <w:tblInd w:w="0" w:type="dxa"/>
        <w:shd w:val="clear" w:color="auto" w:fill="auto"/>
        <w:tblLayout w:type="fixed"/>
        <w:tblCellMar>
          <w:top w:w="0" w:type="dxa"/>
          <w:left w:w="0" w:type="dxa"/>
          <w:bottom w:w="0" w:type="dxa"/>
          <w:right w:w="0" w:type="dxa"/>
        </w:tblCellMar>
      </w:tblPr>
      <w:tblGrid>
        <w:gridCol w:w="4662"/>
        <w:gridCol w:w="664"/>
        <w:gridCol w:w="2433"/>
        <w:gridCol w:w="2278"/>
        <w:gridCol w:w="272"/>
        <w:gridCol w:w="392"/>
        <w:gridCol w:w="283"/>
        <w:gridCol w:w="2460"/>
        <w:gridCol w:w="15"/>
      </w:tblGrid>
      <w:tr>
        <w:tblPrEx>
          <w:shd w:val="clear" w:color="auto" w:fill="auto"/>
          <w:tblCellMar>
            <w:top w:w="0" w:type="dxa"/>
            <w:left w:w="0" w:type="dxa"/>
            <w:bottom w:w="0" w:type="dxa"/>
            <w:right w:w="0" w:type="dxa"/>
          </w:tblCellMar>
        </w:tblPrEx>
        <w:trPr>
          <w:gridAfter w:val="1"/>
          <w:wAfter w:w="15" w:type="dxa"/>
          <w:trHeight w:val="375" w:hRule="atLeast"/>
        </w:trPr>
        <w:tc>
          <w:tcPr>
            <w:tcW w:w="13444" w:type="dxa"/>
            <w:gridSpan w:val="8"/>
            <w:vMerge w:val="restart"/>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收入支出决算总表</w:t>
            </w:r>
          </w:p>
        </w:tc>
      </w:tr>
      <w:tr>
        <w:tblPrEx>
          <w:shd w:val="clear" w:color="auto" w:fill="auto"/>
          <w:tblCellMar>
            <w:top w:w="0" w:type="dxa"/>
            <w:left w:w="0" w:type="dxa"/>
            <w:bottom w:w="0" w:type="dxa"/>
            <w:right w:w="0" w:type="dxa"/>
          </w:tblCellMar>
        </w:tblPrEx>
        <w:trPr>
          <w:gridAfter w:val="1"/>
          <w:wAfter w:w="15" w:type="dxa"/>
          <w:trHeight w:val="312" w:hRule="atLeast"/>
        </w:trPr>
        <w:tc>
          <w:tcPr>
            <w:tcW w:w="13444" w:type="dxa"/>
            <w:gridSpan w:val="8"/>
            <w:vMerge w:val="continue"/>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36"/>
                <w:szCs w:val="36"/>
                <w:u w:val="none"/>
              </w:rPr>
            </w:pP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43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27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743" w:type="dxa"/>
            <w:gridSpan w:val="2"/>
            <w:tcBorders>
              <w:top w:val="nil"/>
              <w:left w:val="nil"/>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0"/>
                <w:szCs w:val="20"/>
                <w:u w:val="none"/>
                <w:lang w:val="en-US" w:eastAsia="zh-CN" w:bidi="ar"/>
              </w:rPr>
              <w:t>部门：洛龙区创建办</w:t>
            </w:r>
          </w:p>
        </w:tc>
        <w:tc>
          <w:tcPr>
            <w:tcW w:w="664"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433"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2278"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664" w:type="dxa"/>
            <w:gridSpan w:val="2"/>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w:t>
            </w:r>
          </w:p>
        </w:tc>
        <w:tc>
          <w:tcPr>
            <w:tcW w:w="2743" w:type="dxa"/>
            <w:gridSpan w:val="2"/>
            <w:tcBorders>
              <w:top w:val="nil"/>
              <w:left w:val="nil"/>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gridAfter w:val="1"/>
          <w:wAfter w:w="15" w:type="dxa"/>
          <w:trHeight w:val="300" w:hRule="atLeast"/>
        </w:trPr>
        <w:tc>
          <w:tcPr>
            <w:tcW w:w="7759" w:type="dxa"/>
            <w:gridSpan w:val="3"/>
            <w:tcBorders>
              <w:top w:val="single" w:color="80808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收入</w:t>
            </w:r>
          </w:p>
        </w:tc>
        <w:tc>
          <w:tcPr>
            <w:tcW w:w="5685" w:type="dxa"/>
            <w:gridSpan w:val="5"/>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支出</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行次</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一、一般公共预算财政拨款收入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245.38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一、一般公共服务支出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　</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二、政府性基金预算财政拨款收入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二、外交支出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三、上级补助收入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三、国防支出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四、事业收入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四、公共安全支出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五、经营收入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五、教育支出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六、附属单位上缴收入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六、科学技术支出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七、其他收入</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七、文化旅游体育与传媒支出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八、社会保障和就业支出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九、卫生健康支出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十、节能环保支出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十一、城乡社区支出</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292.38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000000"/>
                <w:kern w:val="0"/>
                <w:sz w:val="20"/>
                <w:szCs w:val="20"/>
                <w:u w:val="none"/>
                <w:lang w:val="en-US" w:eastAsia="zh-CN" w:bidi="ar"/>
              </w:rPr>
              <w:t>……</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本年收入合计</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245.38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本年支出合计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292.38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用事业基金弥补收支差额</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结余分配</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年初结转和结余</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47.00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年末结转和结余</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w:t>
            </w:r>
          </w:p>
        </w:tc>
      </w:tr>
      <w:tr>
        <w:tblPrEx>
          <w:shd w:val="clear" w:color="auto" w:fill="auto"/>
          <w:tblCellMar>
            <w:top w:w="0" w:type="dxa"/>
            <w:left w:w="0" w:type="dxa"/>
            <w:bottom w:w="0" w:type="dxa"/>
            <w:right w:w="0" w:type="dxa"/>
          </w:tblCellMar>
        </w:tblPrEx>
        <w:trPr>
          <w:gridAfter w:val="1"/>
          <w:wAfter w:w="15" w:type="dxa"/>
          <w:trHeight w:val="300" w:hRule="atLeast"/>
        </w:trPr>
        <w:tc>
          <w:tcPr>
            <w:tcW w:w="46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6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24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292.38　</w:t>
            </w:r>
          </w:p>
        </w:tc>
        <w:tc>
          <w:tcPr>
            <w:tcW w:w="255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总计</w:t>
            </w:r>
          </w:p>
        </w:tc>
        <w:tc>
          <w:tcPr>
            <w:tcW w:w="67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2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292.38　</w:t>
            </w:r>
          </w:p>
        </w:tc>
      </w:tr>
      <w:tr>
        <w:tblPrEx>
          <w:shd w:val="clear" w:color="auto" w:fill="auto"/>
          <w:tblCellMar>
            <w:top w:w="0" w:type="dxa"/>
            <w:left w:w="0" w:type="dxa"/>
            <w:bottom w:w="0" w:type="dxa"/>
            <w:right w:w="0" w:type="dxa"/>
          </w:tblCellMar>
        </w:tblPrEx>
        <w:trPr>
          <w:trHeight w:val="300" w:hRule="atLeast"/>
        </w:trPr>
        <w:tc>
          <w:tcPr>
            <w:tcW w:w="13459"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4377" w:type="dxa"/>
        <w:tblInd w:w="0" w:type="dxa"/>
        <w:tblLayout w:type="fixed"/>
        <w:tblCellMar>
          <w:top w:w="0" w:type="dxa"/>
          <w:left w:w="0" w:type="dxa"/>
          <w:bottom w:w="0" w:type="dxa"/>
          <w:right w:w="0" w:type="dxa"/>
        </w:tblCellMar>
      </w:tblPr>
      <w:tblGrid>
        <w:gridCol w:w="2032"/>
        <w:gridCol w:w="41"/>
        <w:gridCol w:w="1044"/>
        <w:gridCol w:w="90"/>
        <w:gridCol w:w="945"/>
        <w:gridCol w:w="1680"/>
        <w:gridCol w:w="389"/>
        <w:gridCol w:w="856"/>
        <w:gridCol w:w="389"/>
        <w:gridCol w:w="871"/>
        <w:gridCol w:w="389"/>
        <w:gridCol w:w="1051"/>
        <w:gridCol w:w="389"/>
        <w:gridCol w:w="1711"/>
        <w:gridCol w:w="389"/>
        <w:gridCol w:w="1722"/>
        <w:gridCol w:w="389"/>
      </w:tblGrid>
      <w:tr>
        <w:tblPrEx>
          <w:tblCellMar>
            <w:top w:w="0" w:type="dxa"/>
            <w:left w:w="0" w:type="dxa"/>
            <w:bottom w:w="0" w:type="dxa"/>
            <w:right w:w="0" w:type="dxa"/>
          </w:tblCellMar>
        </w:tblPrEx>
        <w:trPr>
          <w:gridAfter w:val="1"/>
          <w:wAfter w:w="389" w:type="dxa"/>
          <w:trHeight w:val="435" w:hRule="atLeast"/>
        </w:trPr>
        <w:tc>
          <w:tcPr>
            <w:tcW w:w="13988" w:type="dxa"/>
            <w:gridSpan w:val="16"/>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收入决算表</w:t>
            </w:r>
          </w:p>
        </w:tc>
      </w:tr>
      <w:tr>
        <w:tblPrEx>
          <w:tblCellMar>
            <w:top w:w="0" w:type="dxa"/>
            <w:left w:w="0" w:type="dxa"/>
            <w:bottom w:w="0" w:type="dxa"/>
            <w:right w:w="0" w:type="dxa"/>
          </w:tblCellMar>
        </w:tblPrEx>
        <w:trPr>
          <w:trHeight w:val="285" w:hRule="atLeast"/>
        </w:trPr>
        <w:tc>
          <w:tcPr>
            <w:tcW w:w="2032"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41"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044"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90"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3014"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45"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6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4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10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111"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300" w:hRule="atLeast"/>
        </w:trPr>
        <w:tc>
          <w:tcPr>
            <w:tcW w:w="203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部门：洛龙区创建办</w:t>
            </w:r>
          </w:p>
        </w:tc>
        <w:tc>
          <w:tcPr>
            <w:tcW w:w="41"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044"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90" w:type="dxa"/>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3014"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45"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6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4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10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111"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gridAfter w:val="1"/>
          <w:wAfter w:w="389" w:type="dxa"/>
          <w:trHeight w:val="450" w:hRule="atLeast"/>
        </w:trPr>
        <w:tc>
          <w:tcPr>
            <w:tcW w:w="3117"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03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680" w:type="dxa"/>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245"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6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44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2100"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2111" w:type="dxa"/>
            <w:gridSpan w:val="2"/>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gridAfter w:val="1"/>
          <w:wAfter w:w="389" w:type="dxa"/>
          <w:trHeight w:val="450" w:hRule="atLeast"/>
        </w:trPr>
        <w:tc>
          <w:tcPr>
            <w:tcW w:w="207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3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80" w:type="dxa"/>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4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4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0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11"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89" w:type="dxa"/>
          <w:trHeight w:val="450" w:hRule="atLeast"/>
        </w:trPr>
        <w:tc>
          <w:tcPr>
            <w:tcW w:w="207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3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80" w:type="dxa"/>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45"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6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44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00"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11" w:type="dxa"/>
            <w:gridSpan w:val="2"/>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89" w:type="dxa"/>
          <w:trHeight w:val="450" w:hRule="atLeast"/>
        </w:trPr>
        <w:tc>
          <w:tcPr>
            <w:tcW w:w="311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111" w:type="dxa"/>
            <w:gridSpan w:val="2"/>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gridAfter w:val="1"/>
          <w:wAfter w:w="389" w:type="dxa"/>
          <w:trHeight w:val="450" w:hRule="atLeast"/>
        </w:trPr>
        <w:tc>
          <w:tcPr>
            <w:tcW w:w="311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245.38</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245.38</w:t>
            </w:r>
          </w:p>
        </w:tc>
        <w:tc>
          <w:tcPr>
            <w:tcW w:w="12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4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21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21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gridAfter w:val="1"/>
          <w:wAfter w:w="389" w:type="dxa"/>
          <w:trHeight w:val="450" w:hRule="atLeast"/>
        </w:trPr>
        <w:tc>
          <w:tcPr>
            <w:tcW w:w="2073"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212</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城乡社区支出</w:t>
            </w:r>
          </w:p>
        </w:tc>
        <w:tc>
          <w:tcPr>
            <w:tcW w:w="10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245.38</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245.38</w:t>
            </w:r>
          </w:p>
        </w:tc>
        <w:tc>
          <w:tcPr>
            <w:tcW w:w="12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0.00</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0.00</w:t>
            </w:r>
          </w:p>
        </w:tc>
        <w:tc>
          <w:tcPr>
            <w:tcW w:w="14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0.00</w:t>
            </w:r>
          </w:p>
        </w:tc>
        <w:tc>
          <w:tcPr>
            <w:tcW w:w="21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0.00</w:t>
            </w:r>
          </w:p>
        </w:tc>
        <w:tc>
          <w:tcPr>
            <w:tcW w:w="21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gridAfter w:val="1"/>
          <w:wAfter w:w="389" w:type="dxa"/>
          <w:trHeight w:val="450" w:hRule="atLeast"/>
        </w:trPr>
        <w:tc>
          <w:tcPr>
            <w:tcW w:w="2073"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21205</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城乡社区环境卫生</w:t>
            </w:r>
          </w:p>
        </w:tc>
        <w:tc>
          <w:tcPr>
            <w:tcW w:w="10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华文中宋" w:hAnsi="华文中宋" w:eastAsia="华文中宋" w:cs="华文中宋"/>
                <w:i w:val="0"/>
                <w:color w:val="000000"/>
                <w:sz w:val="21"/>
                <w:szCs w:val="21"/>
                <w:u w:val="none"/>
              </w:rPr>
            </w:pPr>
            <w:r>
              <w:rPr>
                <w:rFonts w:hint="eastAsia" w:ascii="宋体" w:hAnsi="宋体" w:eastAsia="宋体" w:cs="宋体"/>
                <w:i w:val="0"/>
                <w:color w:val="000000"/>
                <w:sz w:val="20"/>
                <w:szCs w:val="20"/>
                <w:u w:val="none"/>
                <w:lang w:val="en-US" w:eastAsia="zh-CN"/>
              </w:rPr>
              <w:t>245.38</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245.38</w:t>
            </w:r>
          </w:p>
        </w:tc>
        <w:tc>
          <w:tcPr>
            <w:tcW w:w="12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0.00</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0.00</w:t>
            </w:r>
          </w:p>
        </w:tc>
        <w:tc>
          <w:tcPr>
            <w:tcW w:w="14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0.00</w:t>
            </w:r>
          </w:p>
        </w:tc>
        <w:tc>
          <w:tcPr>
            <w:tcW w:w="21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0.00</w:t>
            </w:r>
          </w:p>
        </w:tc>
        <w:tc>
          <w:tcPr>
            <w:tcW w:w="21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gridAfter w:val="1"/>
          <w:wAfter w:w="389" w:type="dxa"/>
          <w:trHeight w:val="450" w:hRule="atLeast"/>
        </w:trPr>
        <w:tc>
          <w:tcPr>
            <w:tcW w:w="2073"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2120501</w:t>
            </w: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firstLine="200" w:firstLineChars="100"/>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城乡社区环境卫生</w:t>
            </w:r>
          </w:p>
        </w:tc>
        <w:tc>
          <w:tcPr>
            <w:tcW w:w="10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245.38</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245.38</w:t>
            </w:r>
          </w:p>
        </w:tc>
        <w:tc>
          <w:tcPr>
            <w:tcW w:w="12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0.00</w:t>
            </w: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0.00</w:t>
            </w:r>
          </w:p>
        </w:tc>
        <w:tc>
          <w:tcPr>
            <w:tcW w:w="14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0.00</w:t>
            </w:r>
          </w:p>
        </w:tc>
        <w:tc>
          <w:tcPr>
            <w:tcW w:w="21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0.00</w:t>
            </w:r>
          </w:p>
        </w:tc>
        <w:tc>
          <w:tcPr>
            <w:tcW w:w="21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0"/>
                <w:szCs w:val="20"/>
                <w:u w:val="none"/>
                <w:lang w:val="en-US" w:eastAsia="zh-CN"/>
              </w:rPr>
              <w:t>0.00</w:t>
            </w:r>
          </w:p>
        </w:tc>
      </w:tr>
      <w:tr>
        <w:tblPrEx>
          <w:tblCellMar>
            <w:top w:w="0" w:type="dxa"/>
            <w:left w:w="0" w:type="dxa"/>
            <w:bottom w:w="0" w:type="dxa"/>
            <w:right w:w="0" w:type="dxa"/>
          </w:tblCellMar>
        </w:tblPrEx>
        <w:trPr>
          <w:gridAfter w:val="1"/>
          <w:wAfter w:w="389" w:type="dxa"/>
          <w:trHeight w:val="450" w:hRule="atLeast"/>
        </w:trPr>
        <w:tc>
          <w:tcPr>
            <w:tcW w:w="2073"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0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1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89" w:type="dxa"/>
          <w:trHeight w:val="450" w:hRule="atLeast"/>
        </w:trPr>
        <w:tc>
          <w:tcPr>
            <w:tcW w:w="2073"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0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111" w:type="dxa"/>
            <w:gridSpan w:val="2"/>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89" w:type="dxa"/>
          <w:trHeight w:val="450" w:hRule="atLeast"/>
        </w:trPr>
        <w:tc>
          <w:tcPr>
            <w:tcW w:w="2073"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044"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03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680"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45"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6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4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100"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111" w:type="dxa"/>
            <w:gridSpan w:val="2"/>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89" w:type="dxa"/>
          <w:trHeight w:val="615" w:hRule="atLeast"/>
        </w:trPr>
        <w:tc>
          <w:tcPr>
            <w:tcW w:w="13988" w:type="dxa"/>
            <w:gridSpan w:val="16"/>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4706" w:type="dxa"/>
        <w:tblInd w:w="-718" w:type="dxa"/>
        <w:tblLayout w:type="fixed"/>
        <w:tblCellMar>
          <w:top w:w="0" w:type="dxa"/>
          <w:left w:w="0" w:type="dxa"/>
          <w:bottom w:w="0" w:type="dxa"/>
          <w:right w:w="0" w:type="dxa"/>
        </w:tblCellMar>
      </w:tblPr>
      <w:tblGrid>
        <w:gridCol w:w="1838"/>
        <w:gridCol w:w="63"/>
        <w:gridCol w:w="27"/>
        <w:gridCol w:w="1349"/>
        <w:gridCol w:w="1774"/>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4706" w:type="dxa"/>
            <w:gridSpan w:val="15"/>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83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7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1838"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洛龙区创建办</w:t>
            </w:r>
          </w:p>
        </w:tc>
        <w:tc>
          <w:tcPr>
            <w:tcW w:w="9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77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50" w:hRule="atLeast"/>
        </w:trPr>
        <w:tc>
          <w:tcPr>
            <w:tcW w:w="3277" w:type="dxa"/>
            <w:gridSpan w:val="4"/>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1901"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901"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277" w:type="dxa"/>
            <w:gridSpan w:val="4"/>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3277" w:type="dxa"/>
            <w:gridSpan w:val="4"/>
            <w:tcBorders>
              <w:top w:val="nil"/>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292.38</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292.38</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901"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212</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城乡社区支出</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292.38</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292.38</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901"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21205</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城乡社区环境卫生</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292.38</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292.38</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901"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2120501</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 xml:space="preserve">  城乡社区环境卫生</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292.38</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292.38</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50" w:hRule="atLeast"/>
        </w:trPr>
        <w:tc>
          <w:tcPr>
            <w:tcW w:w="1901"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901" w:type="dxa"/>
            <w:gridSpan w:val="2"/>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901" w:type="dxa"/>
            <w:gridSpan w:val="2"/>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1376"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4" w:type="dxa"/>
            <w:gridSpan w:val="2"/>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909"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14706" w:type="dxa"/>
            <w:gridSpan w:val="15"/>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988" w:type="dxa"/>
        <w:tblInd w:w="0" w:type="dxa"/>
        <w:tblLayout w:type="fixed"/>
        <w:tblCellMar>
          <w:top w:w="0" w:type="dxa"/>
          <w:left w:w="0" w:type="dxa"/>
          <w:bottom w:w="0" w:type="dxa"/>
          <w:right w:w="0" w:type="dxa"/>
        </w:tblCellMar>
      </w:tblPr>
      <w:tblGrid>
        <w:gridCol w:w="3994"/>
        <w:gridCol w:w="720"/>
        <w:gridCol w:w="1210"/>
        <w:gridCol w:w="3400"/>
        <w:gridCol w:w="597"/>
        <w:gridCol w:w="708"/>
        <w:gridCol w:w="1343"/>
        <w:gridCol w:w="336"/>
        <w:gridCol w:w="1680"/>
      </w:tblGrid>
      <w:tr>
        <w:tblPrEx>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9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0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43"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300" w:hRule="atLeast"/>
        </w:trPr>
        <w:tc>
          <w:tcPr>
            <w:tcW w:w="3994"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洛龙区创建办</w:t>
            </w:r>
          </w:p>
        </w:tc>
        <w:tc>
          <w:tcPr>
            <w:tcW w:w="72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59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70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343"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2"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63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7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245.38</w:t>
            </w: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三、国有资本经营财政拨款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w:t>
            </w:r>
            <w:r>
              <w:rPr>
                <w:rFonts w:hint="eastAsia" w:ascii="宋体" w:hAnsi="宋体" w:eastAsia="宋体" w:cs="宋体"/>
                <w:i w:val="0"/>
                <w:color w:val="000000"/>
                <w:kern w:val="0"/>
                <w:sz w:val="20"/>
                <w:szCs w:val="20"/>
                <w:u w:val="none"/>
                <w:lang w:val="en-US" w:eastAsia="zh-CN" w:bidi="ar"/>
              </w:rPr>
              <w:t>城乡社区支出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292.38</w:t>
            </w: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292.38</w:t>
            </w: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70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70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245.38</w:t>
            </w:r>
          </w:p>
        </w:tc>
        <w:tc>
          <w:tcPr>
            <w:tcW w:w="34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70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292.38</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292.38</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b/>
                <w:color w:val="000000"/>
                <w:sz w:val="20"/>
                <w:szCs w:val="20"/>
                <w:lang w:val="en-US" w:eastAsia="zh-CN"/>
              </w:rPr>
            </w:pPr>
            <w:r>
              <w:rPr>
                <w:rFonts w:hint="eastAsia" w:ascii="宋体" w:hAnsi="宋体" w:cs="宋体"/>
                <w:b w:val="0"/>
                <w:bCs/>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47.00</w:t>
            </w:r>
          </w:p>
        </w:tc>
        <w:tc>
          <w:tcPr>
            <w:tcW w:w="34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70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47.00</w:t>
            </w:r>
          </w:p>
        </w:tc>
        <w:tc>
          <w:tcPr>
            <w:tcW w:w="34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70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708" w:type="dxa"/>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nil"/>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708" w:type="dxa"/>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680" w:type="dxa"/>
            <w:tcBorders>
              <w:top w:val="single" w:color="000000" w:sz="4" w:space="0"/>
              <w:left w:val="nil"/>
              <w:bottom w:val="nil"/>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292.38</w:t>
            </w:r>
          </w:p>
        </w:tc>
        <w:tc>
          <w:tcPr>
            <w:tcW w:w="3400" w:type="dxa"/>
            <w:tcBorders>
              <w:top w:val="single" w:color="000000" w:sz="4" w:space="0"/>
              <w:left w:val="single" w:color="000000" w:sz="4" w:space="0"/>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708" w:type="dxa"/>
            <w:tcBorders>
              <w:top w:val="single" w:color="000000" w:sz="4" w:space="0"/>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292.38</w:t>
            </w:r>
          </w:p>
        </w:tc>
        <w:tc>
          <w:tcPr>
            <w:tcW w:w="1679" w:type="dxa"/>
            <w:gridSpan w:val="2"/>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b w:val="0"/>
                <w:bCs w:val="0"/>
                <w:color w:val="000000"/>
                <w:sz w:val="20"/>
                <w:szCs w:val="20"/>
                <w:lang w:val="en-US" w:eastAsia="zh-CN"/>
              </w:rPr>
            </w:pPr>
            <w:r>
              <w:rPr>
                <w:rFonts w:hint="eastAsia" w:ascii="宋体" w:hAnsi="宋体" w:cs="宋体"/>
                <w:b w:val="0"/>
                <w:bCs w:val="0"/>
                <w:color w:val="000000"/>
                <w:sz w:val="20"/>
                <w:szCs w:val="20"/>
                <w:lang w:val="en-US" w:eastAsia="zh-CN"/>
              </w:rPr>
              <w:t>0.00</w:t>
            </w:r>
          </w:p>
        </w:tc>
        <w:tc>
          <w:tcPr>
            <w:tcW w:w="1680" w:type="dxa"/>
            <w:tcBorders>
              <w:top w:val="single" w:color="000000" w:sz="4" w:space="0"/>
              <w:left w:val="nil"/>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b w:val="0"/>
                <w:bCs w:val="0"/>
                <w:color w:val="000000"/>
                <w:sz w:val="20"/>
                <w:szCs w:val="20"/>
                <w:lang w:val="en-US" w:eastAsia="zh-CN"/>
              </w:rPr>
            </w:pPr>
            <w:r>
              <w:rPr>
                <w:rFonts w:hint="eastAsia" w:ascii="宋体" w:hAnsi="宋体" w:cs="宋体"/>
                <w:b w:val="0"/>
                <w:bCs w:val="0"/>
                <w:color w:val="000000"/>
                <w:sz w:val="20"/>
                <w:szCs w:val="20"/>
                <w:lang w:val="en-US" w:eastAsia="zh-CN"/>
              </w:rPr>
              <w:t>0.00</w:t>
            </w: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5278" w:type="dxa"/>
        <w:tblInd w:w="-1025" w:type="dxa"/>
        <w:tblLayout w:type="fixed"/>
        <w:tblCellMar>
          <w:top w:w="0" w:type="dxa"/>
          <w:left w:w="0" w:type="dxa"/>
          <w:bottom w:w="0" w:type="dxa"/>
          <w:right w:w="0" w:type="dxa"/>
        </w:tblCellMar>
      </w:tblPr>
      <w:tblGrid>
        <w:gridCol w:w="1751"/>
        <w:gridCol w:w="688"/>
        <w:gridCol w:w="2225"/>
        <w:gridCol w:w="3449"/>
        <w:gridCol w:w="3449"/>
        <w:gridCol w:w="3716"/>
      </w:tblGrid>
      <w:tr>
        <w:tblPrEx>
          <w:tblCellMar>
            <w:top w:w="0" w:type="dxa"/>
            <w:left w:w="0" w:type="dxa"/>
            <w:bottom w:w="0" w:type="dxa"/>
            <w:right w:w="0" w:type="dxa"/>
          </w:tblCellMar>
        </w:tblPrEx>
        <w:trPr>
          <w:trHeight w:val="600" w:hRule="atLeast"/>
        </w:trPr>
        <w:tc>
          <w:tcPr>
            <w:tcW w:w="15278"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17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716"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8"/>
                <w:rFonts w:hint="default"/>
                <w:lang w:bidi="ar"/>
              </w:rPr>
              <w:t>5表</w:t>
            </w:r>
          </w:p>
        </w:tc>
      </w:tr>
      <w:tr>
        <w:tblPrEx>
          <w:tblCellMar>
            <w:top w:w="0" w:type="dxa"/>
            <w:left w:w="0" w:type="dxa"/>
            <w:bottom w:w="0" w:type="dxa"/>
            <w:right w:w="0" w:type="dxa"/>
          </w:tblCellMar>
        </w:tblPrEx>
        <w:trPr>
          <w:trHeight w:val="300" w:hRule="atLeast"/>
        </w:trPr>
        <w:tc>
          <w:tcPr>
            <w:tcW w:w="17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sz w:val="20"/>
                <w:szCs w:val="20"/>
                <w:lang w:val="en-US"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洛龙区创建办</w:t>
            </w:r>
          </w:p>
        </w:tc>
        <w:tc>
          <w:tcPr>
            <w:tcW w:w="688"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716"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4664"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9"/>
                <w:rFonts w:hint="default"/>
                <w:sz w:val="20"/>
                <w:szCs w:val="20"/>
                <w:lang w:bidi="ar"/>
              </w:rPr>
              <w:t xml:space="preserve">   </w:t>
            </w:r>
            <w:r>
              <w:rPr>
                <w:rStyle w:val="10"/>
                <w:rFonts w:hint="default"/>
                <w:sz w:val="20"/>
                <w:szCs w:val="20"/>
                <w:lang w:bidi="ar"/>
              </w:rPr>
              <w:t>目</w:t>
            </w:r>
          </w:p>
        </w:tc>
        <w:tc>
          <w:tcPr>
            <w:tcW w:w="10614" w:type="dxa"/>
            <w:gridSpan w:val="3"/>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2439"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716" w:type="dxa"/>
            <w:vMerge w:val="restart"/>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2439"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716"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39"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3716" w:type="dxa"/>
            <w:vMerge w:val="continue"/>
            <w:tcBorders>
              <w:top w:val="nil"/>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466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7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50" w:hRule="atLeast"/>
        </w:trPr>
        <w:tc>
          <w:tcPr>
            <w:tcW w:w="4664"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292.38</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0.00</w:t>
            </w:r>
          </w:p>
        </w:tc>
        <w:tc>
          <w:tcPr>
            <w:tcW w:w="37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292.38</w:t>
            </w:r>
          </w:p>
        </w:tc>
      </w:tr>
      <w:tr>
        <w:tblPrEx>
          <w:tblCellMar>
            <w:top w:w="0" w:type="dxa"/>
            <w:left w:w="0" w:type="dxa"/>
            <w:bottom w:w="0" w:type="dxa"/>
            <w:right w:w="0" w:type="dxa"/>
          </w:tblCellMar>
        </w:tblPrEx>
        <w:trPr>
          <w:trHeight w:val="450" w:hRule="atLeast"/>
        </w:trPr>
        <w:tc>
          <w:tcPr>
            <w:tcW w:w="243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212</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城乡社区支出</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292.38</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37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292.38</w:t>
            </w:r>
          </w:p>
        </w:tc>
      </w:tr>
      <w:tr>
        <w:tblPrEx>
          <w:tblCellMar>
            <w:top w:w="0" w:type="dxa"/>
            <w:left w:w="0" w:type="dxa"/>
            <w:bottom w:w="0" w:type="dxa"/>
            <w:right w:w="0" w:type="dxa"/>
          </w:tblCellMar>
        </w:tblPrEx>
        <w:trPr>
          <w:trHeight w:val="450" w:hRule="atLeast"/>
        </w:trPr>
        <w:tc>
          <w:tcPr>
            <w:tcW w:w="243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21205</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城乡社区环境卫生</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292.38</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37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292.38</w:t>
            </w:r>
          </w:p>
        </w:tc>
      </w:tr>
      <w:tr>
        <w:tblPrEx>
          <w:tblCellMar>
            <w:top w:w="0" w:type="dxa"/>
            <w:left w:w="0" w:type="dxa"/>
            <w:bottom w:w="0" w:type="dxa"/>
            <w:right w:w="0" w:type="dxa"/>
          </w:tblCellMar>
        </w:tblPrEx>
        <w:trPr>
          <w:trHeight w:val="450" w:hRule="atLeast"/>
        </w:trPr>
        <w:tc>
          <w:tcPr>
            <w:tcW w:w="243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2120501</w:t>
            </w: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 xml:space="preserve">  城乡社区环境卫生</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292.38</w:t>
            </w: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0.00</w:t>
            </w:r>
          </w:p>
        </w:tc>
        <w:tc>
          <w:tcPr>
            <w:tcW w:w="37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cs="宋体"/>
                <w:color w:val="000000"/>
                <w:sz w:val="20"/>
                <w:szCs w:val="20"/>
              </w:rPr>
            </w:pPr>
            <w:r>
              <w:rPr>
                <w:rFonts w:hint="eastAsia" w:ascii="宋体" w:hAnsi="宋体" w:cs="宋体"/>
                <w:color w:val="000000"/>
                <w:sz w:val="20"/>
                <w:szCs w:val="20"/>
                <w:lang w:val="en-US" w:eastAsia="zh-CN"/>
              </w:rPr>
              <w:t>292.38</w:t>
            </w:r>
          </w:p>
        </w:tc>
      </w:tr>
      <w:tr>
        <w:tblPrEx>
          <w:tblCellMar>
            <w:top w:w="0" w:type="dxa"/>
            <w:left w:w="0" w:type="dxa"/>
            <w:bottom w:w="0" w:type="dxa"/>
            <w:right w:w="0" w:type="dxa"/>
          </w:tblCellMar>
        </w:tblPrEx>
        <w:trPr>
          <w:trHeight w:val="450" w:hRule="atLeast"/>
        </w:trPr>
        <w:tc>
          <w:tcPr>
            <w:tcW w:w="243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7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39"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716"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39"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2225"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4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3716"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5278"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4013" w:type="dxa"/>
        <w:tblInd w:w="93" w:type="dxa"/>
        <w:shd w:val="clear" w:color="auto" w:fill="auto"/>
        <w:tblLayout w:type="fixed"/>
        <w:tblCellMar>
          <w:top w:w="0" w:type="dxa"/>
          <w:left w:w="108" w:type="dxa"/>
          <w:bottom w:w="0" w:type="dxa"/>
          <w:right w:w="108" w:type="dxa"/>
        </w:tblCellMar>
      </w:tblPr>
      <w:tblGrid>
        <w:gridCol w:w="860"/>
        <w:gridCol w:w="3030"/>
        <w:gridCol w:w="955"/>
        <w:gridCol w:w="718"/>
        <w:gridCol w:w="2030"/>
        <w:gridCol w:w="716"/>
        <w:gridCol w:w="122"/>
        <w:gridCol w:w="718"/>
        <w:gridCol w:w="3830"/>
        <w:gridCol w:w="1034"/>
      </w:tblGrid>
      <w:tr>
        <w:tblPrEx>
          <w:shd w:val="clear" w:color="auto" w:fill="auto"/>
          <w:tblCellMar>
            <w:top w:w="0" w:type="dxa"/>
            <w:left w:w="108" w:type="dxa"/>
            <w:bottom w:w="0" w:type="dxa"/>
            <w:right w:w="108" w:type="dxa"/>
          </w:tblCellMar>
        </w:tblPrEx>
        <w:trPr>
          <w:trHeight w:val="450" w:hRule="atLeast"/>
        </w:trPr>
        <w:tc>
          <w:tcPr>
            <w:tcW w:w="86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2"/>
                <w:szCs w:val="22"/>
                <w:lang w:val="en-US"/>
              </w:rPr>
            </w:pPr>
            <w:r>
              <w:rPr>
                <w:rFonts w:hint="eastAsia" w:ascii="宋体" w:hAnsi="宋体" w:eastAsia="宋体" w:cs="Arial"/>
                <w:kern w:val="0"/>
                <w:sz w:val="22"/>
                <w:szCs w:val="22"/>
                <w:lang w:val="en-US" w:eastAsia="zh-CN" w:bidi="ar"/>
              </w:rPr>
              <w:t>　</w:t>
            </w:r>
          </w:p>
        </w:tc>
        <w:tc>
          <w:tcPr>
            <w:tcW w:w="13153" w:type="dxa"/>
            <w:gridSpan w:val="9"/>
            <w:shd w:val="clear" w:color="auto" w:fill="FFFFFF"/>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Arial"/>
                <w:color w:val="000000"/>
                <w:kern w:val="0"/>
                <w:sz w:val="32"/>
                <w:szCs w:val="32"/>
                <w:lang w:val="en-US"/>
              </w:rPr>
            </w:pPr>
            <w:r>
              <w:rPr>
                <w:rFonts w:hint="eastAsia" w:ascii="黑体" w:hAnsi="宋体" w:eastAsia="黑体" w:cs="Arial"/>
                <w:color w:val="000000"/>
                <w:kern w:val="0"/>
                <w:sz w:val="32"/>
                <w:szCs w:val="32"/>
                <w:lang w:val="en-US" w:eastAsia="zh-CN" w:bidi="ar"/>
              </w:rPr>
              <w:t>一般公共预算财政拨款基本支出决算表</w:t>
            </w:r>
          </w:p>
        </w:tc>
      </w:tr>
      <w:tr>
        <w:tblPrEx>
          <w:shd w:val="clear" w:color="auto" w:fill="auto"/>
          <w:tblCellMar>
            <w:top w:w="0" w:type="dxa"/>
            <w:left w:w="108" w:type="dxa"/>
            <w:bottom w:w="0" w:type="dxa"/>
            <w:right w:w="108" w:type="dxa"/>
          </w:tblCellMar>
        </w:tblPrEx>
        <w:trPr>
          <w:trHeight w:val="300" w:hRule="atLeast"/>
        </w:trPr>
        <w:tc>
          <w:tcPr>
            <w:tcW w:w="86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0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955"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8"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20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6"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840" w:type="dxa"/>
            <w:gridSpan w:val="2"/>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830" w:type="dxa"/>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1034" w:type="dxa"/>
            <w:shd w:val="clear" w:color="auto" w:fill="FFFFFF"/>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18"/>
                <w:szCs w:val="18"/>
                <w:lang w:val="en-US"/>
              </w:rPr>
            </w:pPr>
            <w:r>
              <w:rPr>
                <w:rFonts w:hint="eastAsia" w:ascii="宋体" w:hAnsi="宋体" w:eastAsia="宋体" w:cs="Arial"/>
                <w:color w:val="000000"/>
                <w:kern w:val="0"/>
                <w:sz w:val="18"/>
                <w:szCs w:val="18"/>
                <w:lang w:val="en-US" w:eastAsia="zh-CN" w:bidi="ar"/>
              </w:rPr>
              <w:t>公开06表</w:t>
            </w:r>
          </w:p>
        </w:tc>
      </w:tr>
      <w:tr>
        <w:tblPrEx>
          <w:shd w:val="clear" w:color="auto" w:fill="auto"/>
          <w:tblCellMar>
            <w:top w:w="0" w:type="dxa"/>
            <w:left w:w="108" w:type="dxa"/>
            <w:bottom w:w="0" w:type="dxa"/>
            <w:right w:w="108" w:type="dxa"/>
          </w:tblCellMar>
        </w:tblPrEx>
        <w:trPr>
          <w:trHeight w:val="270" w:hRule="atLeast"/>
        </w:trPr>
        <w:tc>
          <w:tcPr>
            <w:tcW w:w="86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部门：</w:t>
            </w:r>
          </w:p>
        </w:tc>
        <w:tc>
          <w:tcPr>
            <w:tcW w:w="30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eastAsia="宋体" w:cs="Arial"/>
                <w:kern w:val="0"/>
                <w:sz w:val="18"/>
                <w:szCs w:val="18"/>
                <w:lang w:val="en-US"/>
              </w:rPr>
            </w:pPr>
            <w:r>
              <w:rPr>
                <w:rFonts w:hint="eastAsia" w:ascii="宋体" w:hAnsi="宋体" w:eastAsia="宋体" w:cs="Arial"/>
                <w:kern w:val="0"/>
                <w:sz w:val="18"/>
                <w:szCs w:val="18"/>
                <w:lang w:val="en-US" w:eastAsia="zh-CN" w:bidi="ar"/>
              </w:rPr>
              <w:t>洛龙区创建办</w:t>
            </w:r>
          </w:p>
        </w:tc>
        <w:tc>
          <w:tcPr>
            <w:tcW w:w="955"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718"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20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　</w:t>
            </w:r>
          </w:p>
        </w:tc>
        <w:tc>
          <w:tcPr>
            <w:tcW w:w="716"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840" w:type="dxa"/>
            <w:gridSpan w:val="2"/>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3830"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18"/>
                <w:szCs w:val="18"/>
                <w:lang w:val="en-US"/>
              </w:rPr>
            </w:pPr>
            <w:r>
              <w:rPr>
                <w:rFonts w:hint="eastAsia" w:ascii="宋体" w:hAnsi="宋体" w:eastAsia="宋体" w:cs="Arial"/>
                <w:kern w:val="0"/>
                <w:sz w:val="18"/>
                <w:szCs w:val="18"/>
                <w:lang w:val="en-US" w:eastAsia="zh-CN" w:bidi="ar"/>
              </w:rPr>
              <w:t>　</w:t>
            </w:r>
          </w:p>
        </w:tc>
        <w:tc>
          <w:tcPr>
            <w:tcW w:w="1034" w:type="dxa"/>
            <w:tcBorders>
              <w:top w:val="nil"/>
              <w:left w:val="nil"/>
              <w:bottom w:val="single" w:color="auto" w:sz="4" w:space="0"/>
              <w:right w:val="nil"/>
            </w:tcBorders>
            <w:shd w:val="clear" w:color="auto" w:fill="FFFFFF"/>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18"/>
                <w:szCs w:val="18"/>
                <w:lang w:val="en-US"/>
              </w:rPr>
            </w:pPr>
            <w:r>
              <w:rPr>
                <w:rFonts w:hint="eastAsia" w:ascii="宋体" w:hAnsi="宋体" w:eastAsia="宋体" w:cs="Arial"/>
                <w:color w:val="000000"/>
                <w:kern w:val="0"/>
                <w:sz w:val="18"/>
                <w:szCs w:val="18"/>
                <w:lang w:val="en-US" w:eastAsia="zh-CN" w:bidi="ar"/>
              </w:rPr>
              <w:t>单位：万元</w:t>
            </w:r>
          </w:p>
        </w:tc>
      </w:tr>
      <w:tr>
        <w:tblPrEx>
          <w:shd w:val="clear" w:color="auto" w:fill="auto"/>
          <w:tblCellMar>
            <w:top w:w="0" w:type="dxa"/>
            <w:left w:w="108" w:type="dxa"/>
            <w:bottom w:w="0" w:type="dxa"/>
            <w:right w:w="108" w:type="dxa"/>
          </w:tblCellMar>
        </w:tblPrEx>
        <w:trPr>
          <w:trHeight w:val="300" w:hRule="atLeast"/>
        </w:trPr>
        <w:tc>
          <w:tcPr>
            <w:tcW w:w="48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人员经费</w:t>
            </w:r>
          </w:p>
        </w:tc>
        <w:tc>
          <w:tcPr>
            <w:tcW w:w="9168" w:type="dxa"/>
            <w:gridSpan w:val="7"/>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公用经费</w:t>
            </w:r>
          </w:p>
        </w:tc>
      </w:tr>
      <w:tr>
        <w:tblPrEx>
          <w:shd w:val="clear" w:color="auto" w:fill="auto"/>
          <w:tblCellMar>
            <w:top w:w="0" w:type="dxa"/>
            <w:left w:w="108" w:type="dxa"/>
            <w:bottom w:w="0" w:type="dxa"/>
            <w:right w:w="108" w:type="dxa"/>
          </w:tblCellMar>
        </w:tblPrEx>
        <w:trPr>
          <w:trHeight w:val="312" w:hRule="atLeast"/>
        </w:trPr>
        <w:tc>
          <w:tcPr>
            <w:tcW w:w="86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3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95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20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838"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c>
          <w:tcPr>
            <w:tcW w:w="71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科目编码</w:t>
            </w:r>
          </w:p>
        </w:tc>
        <w:tc>
          <w:tcPr>
            <w:tcW w:w="38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科目名称</w:t>
            </w:r>
          </w:p>
        </w:tc>
        <w:tc>
          <w:tcPr>
            <w:tcW w:w="10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决算数</w:t>
            </w:r>
          </w:p>
        </w:tc>
      </w:tr>
      <w:tr>
        <w:tblPrEx>
          <w:shd w:val="clear" w:color="auto" w:fill="auto"/>
          <w:tblCellMar>
            <w:top w:w="0" w:type="dxa"/>
            <w:left w:w="108" w:type="dxa"/>
            <w:bottom w:w="0" w:type="dxa"/>
            <w:right w:w="108" w:type="dxa"/>
          </w:tblCellMar>
        </w:tblPrEx>
        <w:trPr>
          <w:trHeight w:val="312" w:hRule="atLeast"/>
        </w:trPr>
        <w:tc>
          <w:tcPr>
            <w:tcW w:w="86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0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95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0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38"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1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383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03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工资福利支出</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债务利息及费用支出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基本工资</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办公费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30701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国内债务付息</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津贴补贴</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印刷费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30702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国外债务付息</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奖金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30203</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咨询费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资本性支出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30106</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伙食补助费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手续费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房屋建筑物购建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30107</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绩效工资</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水费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办公设备购置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30108</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机关事业单位基本养老保险缴费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电费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31003</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专用设备购置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30109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职业年金缴费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邮电费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31005</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基础设施建设</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30110</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职工基本医疗保险缴费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取暖费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31006</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大型修缮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公务员医疗补助缴费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30209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物业管理费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信息网络及软件购置更新</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其他社会保障缴费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差旅费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31008</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物资储备</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住房公积金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30212</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因公出国（境）费用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31009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土地补偿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30114</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医疗费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30213</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维修（护）费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31010</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安置补助</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30199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其他工资福利支出</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租赁费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地上附着物和青苗补偿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对个人和家庭的补助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会议费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拆迁补偿</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30301</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离休费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培训费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31013</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公务用车购置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30302</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退休费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公务接待费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31019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其他交通工具购置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30303</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退职（役）费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30218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专用材料费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31021</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文物和陈列品购置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30304</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抚恤金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30224</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被装购置费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31022</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无形资产购置</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30305</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生活补助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30225</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专用燃料费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31099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其他资本性支出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30306</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救济费</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30226</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劳务费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其他支出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30307</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医疗费补助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30227</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委托业务费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39906</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赠与</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30308</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助学金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30228</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工会经费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39907</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国家赔偿费用支出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30309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奖励金</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30229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福利费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39908</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对民间非营利组织和群众性自治组织补贴</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30310</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个人农业生产补贴</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30231</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公务用车运行维护费</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39999</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其他支出</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30399</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其他对个人和家庭的补助</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30239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其他交通费用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30240</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xml:space="preserve">  税金及附加费用</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30299</w:t>
            </w:r>
          </w:p>
        </w:tc>
        <w:tc>
          <w:tcPr>
            <w:tcW w:w="20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其他商品和服务支出</w:t>
            </w:r>
          </w:p>
        </w:tc>
        <w:tc>
          <w:tcPr>
            <w:tcW w:w="838"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71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38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tblCellMar>
            <w:top w:w="0" w:type="dxa"/>
            <w:left w:w="108" w:type="dxa"/>
            <w:bottom w:w="0" w:type="dxa"/>
            <w:right w:w="108" w:type="dxa"/>
          </w:tblCellMar>
        </w:tblPrEx>
        <w:trPr>
          <w:trHeight w:val="300" w:hRule="atLeast"/>
        </w:trPr>
        <w:tc>
          <w:tcPr>
            <w:tcW w:w="389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人员经费合计</w:t>
            </w:r>
          </w:p>
        </w:tc>
        <w:tc>
          <w:tcPr>
            <w:tcW w:w="95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c>
          <w:tcPr>
            <w:tcW w:w="8134" w:type="dxa"/>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公用经费合计</w:t>
            </w:r>
          </w:p>
        </w:tc>
        <w:tc>
          <w:tcPr>
            <w:tcW w:w="10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　</w:t>
            </w:r>
          </w:p>
        </w:tc>
      </w:tr>
      <w:tr>
        <w:tblPrEx>
          <w:shd w:val="clear" w:color="auto" w:fill="auto"/>
          <w:tblCellMar>
            <w:top w:w="0" w:type="dxa"/>
            <w:left w:w="108" w:type="dxa"/>
            <w:bottom w:w="0" w:type="dxa"/>
            <w:right w:w="108" w:type="dxa"/>
          </w:tblCellMar>
        </w:tblPrEx>
        <w:trPr>
          <w:trHeight w:val="300" w:hRule="atLeast"/>
        </w:trPr>
        <w:tc>
          <w:tcPr>
            <w:tcW w:w="14013" w:type="dxa"/>
            <w:gridSpan w:val="10"/>
            <w:shd w:val="clear"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kern w:val="0"/>
                <w:sz w:val="20"/>
                <w:szCs w:val="20"/>
                <w:lang w:val="en-US"/>
              </w:rPr>
            </w:pPr>
            <w:r>
              <w:rPr>
                <w:rFonts w:hint="eastAsia" w:ascii="宋体" w:hAnsi="宋体" w:eastAsia="宋体" w:cs="Arial"/>
                <w:kern w:val="0"/>
                <w:sz w:val="20"/>
                <w:szCs w:val="20"/>
                <w:lang w:val="en-US" w:eastAsia="zh-CN" w:bidi="ar"/>
              </w:rPr>
              <w:t>注：本表反映部门本年度一般公共预算财政拨款基本支出明细情况。本表金额转换为万元时，因四舍五入可能存在尾差。</w:t>
            </w:r>
          </w:p>
        </w:tc>
      </w:tr>
    </w:tbl>
    <w:p>
      <w:pPr>
        <w:rPr>
          <w:rFonts w:hint="default" w:ascii="仿宋_GB2312" w:hAnsi="仿宋_GB2312" w:eastAsia="仿宋_GB2312" w:cs="仿宋_GB2312"/>
          <w:color w:val="auto"/>
          <w:sz w:val="32"/>
          <w:szCs w:val="32"/>
          <w:highlight w:val="none"/>
          <w:lang w:val="en-US"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说明：我部门没有财政拨款支出，故本表无数据</w:t>
      </w:r>
    </w:p>
    <w:tbl>
      <w:tblPr>
        <w:tblStyle w:val="5"/>
        <w:tblW w:w="14540" w:type="dxa"/>
        <w:tblInd w:w="-733" w:type="dxa"/>
        <w:tblLayout w:type="fixed"/>
        <w:tblCellMar>
          <w:top w:w="0" w:type="dxa"/>
          <w:left w:w="0" w:type="dxa"/>
          <w:bottom w:w="0" w:type="dxa"/>
          <w:right w:w="0" w:type="dxa"/>
        </w:tblCellMar>
      </w:tblPr>
      <w:tblGrid>
        <w:gridCol w:w="1884"/>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4540"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884"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1884"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color w:val="000000"/>
                <w:sz w:val="20"/>
                <w:szCs w:val="20"/>
                <w:lang w:val="en-US"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洛龙区创建办</w:t>
            </w:r>
          </w:p>
        </w:tc>
        <w:tc>
          <w:tcPr>
            <w:tcW w:w="1149"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7634" w:type="dxa"/>
            <w:gridSpan w:val="6"/>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884" w:type="dxa"/>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884" w:type="dxa"/>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884"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884" w:type="dxa"/>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4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151"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900" w:hRule="atLeast"/>
        </w:trPr>
        <w:tc>
          <w:tcPr>
            <w:tcW w:w="14540" w:type="dxa"/>
            <w:gridSpan w:val="12"/>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11"/>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tabs>
          <w:tab w:val="left" w:pos="1769"/>
        </w:tabs>
        <w:bidi w:val="0"/>
        <w:jc w:val="both"/>
        <w:rPr>
          <w:rFonts w:hint="eastAsia"/>
          <w:lang w:val="en-US" w:eastAsia="zh-CN"/>
        </w:rPr>
        <w:sectPr>
          <w:pgSz w:w="16838" w:h="11906" w:orient="landscape"/>
          <w:pgMar w:top="2098" w:right="1474" w:bottom="1984" w:left="1587"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说明：我部门没有财政拨款支出，故本表无数据</w:t>
      </w:r>
    </w:p>
    <w:tbl>
      <w:tblPr>
        <w:tblStyle w:val="5"/>
        <w:tblW w:w="15145" w:type="dxa"/>
        <w:tblInd w:w="-1157" w:type="dxa"/>
        <w:tblLayout w:type="fixed"/>
        <w:tblCellMar>
          <w:top w:w="0" w:type="dxa"/>
          <w:left w:w="0" w:type="dxa"/>
          <w:bottom w:w="0" w:type="dxa"/>
          <w:right w:w="0" w:type="dxa"/>
        </w:tblCellMar>
      </w:tblPr>
      <w:tblGrid>
        <w:gridCol w:w="1769"/>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5145"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1769"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1769"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eastAsiaTheme="minorEastAsia"/>
                <w:color w:val="000000"/>
                <w:sz w:val="20"/>
                <w:szCs w:val="20"/>
                <w:lang w:val="en-US" w:eastAsia="zh-CN"/>
              </w:rPr>
            </w:pPr>
            <w:r>
              <w:rPr>
                <w:rFonts w:hint="eastAsia" w:ascii="宋体" w:hAnsi="宋体" w:cs="宋体"/>
                <w:color w:val="000000"/>
                <w:kern w:val="0"/>
                <w:sz w:val="20"/>
                <w:szCs w:val="20"/>
                <w:lang w:bidi="ar"/>
              </w:rPr>
              <w:t>部门：</w:t>
            </w:r>
            <w:r>
              <w:rPr>
                <w:rFonts w:hint="eastAsia" w:ascii="宋体" w:hAnsi="宋体" w:cs="宋体"/>
                <w:color w:val="000000"/>
                <w:kern w:val="0"/>
                <w:sz w:val="20"/>
                <w:szCs w:val="20"/>
                <w:lang w:val="en-US" w:eastAsia="zh-CN" w:bidi="ar"/>
              </w:rPr>
              <w:t>洛龙区创建办</w:t>
            </w:r>
          </w:p>
        </w:tc>
        <w:tc>
          <w:tcPr>
            <w:tcW w:w="53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3581" w:type="dxa"/>
            <w:gridSpan w:val="3"/>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2305" w:type="dxa"/>
            <w:gridSpan w:val="2"/>
            <w:vMerge w:val="restart"/>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vMerge w:val="restart"/>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2305"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305" w:type="dxa"/>
            <w:gridSpan w:val="2"/>
            <w:vMerge w:val="continue"/>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581"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3581" w:type="dxa"/>
            <w:gridSpan w:val="3"/>
            <w:tcBorders>
              <w:top w:val="nil"/>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305"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305"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305"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305"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305" w:type="dxa"/>
            <w:gridSpan w:val="2"/>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305" w:type="dxa"/>
            <w:gridSpan w:val="2"/>
            <w:tcBorders>
              <w:top w:val="single" w:color="000000" w:sz="4" w:space="0"/>
              <w:left w:val="single" w:color="000000" w:sz="8"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5145" w:type="dxa"/>
            <w:gridSpan w:val="9"/>
            <w:tcBorders>
              <w:top w:val="single" w:color="000000" w:sz="8" w:space="0"/>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jc w:val="cente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none"/>
        </w:rPr>
        <w:t>说明：我部门没有政府性基金收入，也没有使用政府性基金安排的支出，故本表无数据。</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 xml:space="preserve">第三部分  </w:t>
      </w:r>
      <w:r>
        <w:rPr>
          <w:rFonts w:hint="eastAsia" w:ascii="黑体" w:hAnsi="黑体" w:eastAsia="黑体" w:cs="黑体"/>
          <w:sz w:val="48"/>
          <w:szCs w:val="48"/>
          <w:lang w:eastAsia="zh-CN"/>
        </w:rPr>
        <w:t>2020</w:t>
      </w:r>
      <w:r>
        <w:rPr>
          <w:rFonts w:hint="eastAsia" w:ascii="黑体" w:hAnsi="黑体" w:eastAsia="黑体" w:cs="黑体"/>
          <w:sz w:val="48"/>
          <w:szCs w:val="48"/>
        </w:rPr>
        <w:t>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color w:val="auto"/>
          <w:sz w:val="32"/>
          <w:szCs w:val="32"/>
        </w:rPr>
        <w:t>年度收、支总计均为</w:t>
      </w:r>
      <w:r>
        <w:rPr>
          <w:rFonts w:hint="eastAsia" w:ascii="仿宋_GB2312" w:hAnsi="仿宋_GB2312" w:eastAsia="仿宋_GB2312" w:cs="仿宋_GB2312"/>
          <w:color w:val="auto"/>
          <w:sz w:val="32"/>
          <w:szCs w:val="32"/>
          <w:lang w:val="en-US" w:eastAsia="zh-CN"/>
        </w:rPr>
        <w:t>292.38</w:t>
      </w:r>
      <w:r>
        <w:rPr>
          <w:rFonts w:hint="eastAsia" w:ascii="仿宋_GB2312" w:hAnsi="仿宋_GB2312" w:eastAsia="仿宋_GB2312" w:cs="仿宋_GB2312"/>
          <w:color w:val="auto"/>
          <w:sz w:val="32"/>
          <w:szCs w:val="32"/>
        </w:rPr>
        <w:t>万元。与上年度相比，收、支总计各增加</w:t>
      </w:r>
      <w:r>
        <w:rPr>
          <w:rFonts w:hint="eastAsia" w:ascii="仿宋_GB2312" w:hAnsi="仿宋_GB2312" w:eastAsia="仿宋_GB2312" w:cs="仿宋_GB2312"/>
          <w:color w:val="auto"/>
          <w:sz w:val="32"/>
          <w:szCs w:val="32"/>
          <w:lang w:val="en-US" w:eastAsia="zh-CN"/>
        </w:rPr>
        <w:t>127.29</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43.54</w:t>
      </w:r>
      <w:r>
        <w:rPr>
          <w:rFonts w:hint="eastAsia" w:ascii="仿宋_GB2312" w:hAnsi="仿宋_GB2312" w:eastAsia="仿宋_GB2312" w:cs="仿宋_GB2312"/>
          <w:color w:val="auto"/>
          <w:sz w:val="32"/>
          <w:szCs w:val="32"/>
        </w:rPr>
        <w:t>%。主要原因是</w:t>
      </w:r>
      <w:r>
        <w:rPr>
          <w:rFonts w:hint="eastAsia" w:ascii="仿宋_GB2312" w:hAnsi="宋体" w:eastAsia="仿宋_GB2312" w:cs="仿宋_GB2312"/>
          <w:color w:val="auto"/>
          <w:kern w:val="0"/>
          <w:sz w:val="31"/>
          <w:szCs w:val="31"/>
          <w:lang w:val="en-US" w:eastAsia="zh-CN" w:bidi="ar"/>
        </w:rPr>
        <w:t>项目投入加大</w:t>
      </w:r>
      <w:r>
        <w:rPr>
          <w:rFonts w:hint="eastAsia" w:ascii="仿宋_GB2312" w:hAnsi="仿宋_GB2312" w:eastAsia="仿宋_GB2312" w:cs="仿宋_GB2312"/>
          <w:color w:val="auto"/>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245.38</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245.38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292.38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292.38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年度财政拨款收、支总计均为</w:t>
      </w:r>
      <w:r>
        <w:rPr>
          <w:rFonts w:hint="eastAsia" w:ascii="仿宋_GB2312" w:hAnsi="仿宋_GB2312" w:eastAsia="仿宋_GB2312" w:cs="仿宋_GB2312"/>
          <w:sz w:val="32"/>
          <w:szCs w:val="32"/>
          <w:lang w:val="en-US" w:eastAsia="zh-CN"/>
        </w:rPr>
        <w:t>292.38</w:t>
      </w:r>
      <w:r>
        <w:rPr>
          <w:rFonts w:hint="eastAsia" w:ascii="仿宋_GB2312" w:hAnsi="仿宋_GB2312" w:eastAsia="仿宋_GB2312" w:cs="仿宋_GB2312"/>
          <w:sz w:val="32"/>
          <w:szCs w:val="32"/>
        </w:rPr>
        <w:t>万元。与上年度相比，财政拨款收、</w:t>
      </w:r>
      <w:r>
        <w:rPr>
          <w:rFonts w:hint="eastAsia" w:ascii="仿宋_GB2312" w:hAnsi="仿宋_GB2312" w:eastAsia="仿宋_GB2312" w:cs="仿宋_GB2312"/>
          <w:color w:val="auto"/>
          <w:sz w:val="32"/>
          <w:szCs w:val="32"/>
        </w:rPr>
        <w:t>支总计各增加</w:t>
      </w:r>
      <w:r>
        <w:rPr>
          <w:rFonts w:hint="eastAsia" w:ascii="仿宋_GB2312" w:hAnsi="仿宋_GB2312" w:eastAsia="仿宋_GB2312" w:cs="仿宋_GB2312"/>
          <w:color w:val="auto"/>
          <w:sz w:val="32"/>
          <w:szCs w:val="32"/>
          <w:lang w:val="en-US" w:eastAsia="zh-CN"/>
        </w:rPr>
        <w:t>127.29</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43.54</w:t>
      </w:r>
      <w:r>
        <w:rPr>
          <w:rFonts w:hint="eastAsia" w:ascii="仿宋_GB2312" w:hAnsi="仿宋_GB2312" w:eastAsia="仿宋_GB2312" w:cs="仿宋_GB2312"/>
          <w:color w:val="auto"/>
          <w:sz w:val="32"/>
          <w:szCs w:val="32"/>
        </w:rPr>
        <w:t>%。主要原因是</w:t>
      </w:r>
      <w:r>
        <w:rPr>
          <w:rFonts w:hint="eastAsia" w:ascii="仿宋_GB2312" w:hAnsi="宋体" w:eastAsia="仿宋_GB2312" w:cs="仿宋_GB2312"/>
          <w:color w:val="auto"/>
          <w:kern w:val="0"/>
          <w:sz w:val="31"/>
          <w:szCs w:val="31"/>
          <w:lang w:val="en-US" w:eastAsia="zh-CN" w:bidi="ar"/>
        </w:rPr>
        <w:t>项目投入加大。</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292.38</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%。与上年度相比，</w:t>
      </w:r>
      <w:r>
        <w:rPr>
          <w:rFonts w:hint="eastAsia" w:ascii="仿宋_GB2312" w:hAnsi="仿宋_GB2312" w:eastAsia="仿宋_GB2312" w:cs="仿宋_GB2312"/>
          <w:color w:val="000000" w:themeColor="text1"/>
          <w:sz w:val="32"/>
          <w:szCs w:val="32"/>
          <w14:textFill>
            <w14:solidFill>
              <w14:schemeClr w14:val="tx1"/>
            </w14:solidFill>
          </w14:textFill>
        </w:rPr>
        <w:t>一般公共预算财政拨款支出增加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193.52</w:t>
      </w:r>
      <w:r>
        <w:rPr>
          <w:rFonts w:hint="eastAsia" w:ascii="仿宋_GB2312" w:hAnsi="仿宋_GB2312" w:eastAsia="仿宋_GB2312" w:cs="仿宋_GB2312"/>
          <w:color w:val="000000" w:themeColor="text1"/>
          <w:sz w:val="32"/>
          <w:szCs w:val="32"/>
          <w14:textFill>
            <w14:solidFill>
              <w14:schemeClr w14:val="tx1"/>
            </w14:solidFill>
          </w14:textFill>
        </w:rPr>
        <w:t>万元，增长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66.19</w:t>
      </w:r>
      <w:r>
        <w:rPr>
          <w:rFonts w:hint="eastAsia" w:ascii="仿宋_GB2312" w:hAnsi="仿宋_GB2312" w:eastAsia="仿宋_GB2312" w:cs="仿宋_GB2312"/>
          <w:color w:val="000000" w:themeColor="text1"/>
          <w:sz w:val="32"/>
          <w:szCs w:val="32"/>
          <w14:textFill>
            <w14:solidFill>
              <w14:schemeClr w14:val="tx1"/>
            </w14:solidFill>
          </w14:textFill>
        </w:rPr>
        <w:t>%。主要原因是</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项目</w:t>
      </w:r>
      <w:r>
        <w:rPr>
          <w:rFonts w:hint="eastAsia" w:ascii="仿宋_GB2312" w:hAnsi="宋体" w:eastAsia="仿宋_GB2312" w:cs="仿宋_GB2312"/>
          <w:color w:val="000000"/>
          <w:kern w:val="0"/>
          <w:sz w:val="31"/>
          <w:szCs w:val="31"/>
          <w:lang w:val="en-US" w:eastAsia="zh-CN" w:bidi="ar"/>
        </w:rPr>
        <w:t>投入加大。</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292.38</w:t>
      </w:r>
      <w:r>
        <w:rPr>
          <w:rFonts w:hint="eastAsia" w:ascii="仿宋_GB2312" w:hAnsi="仿宋_GB2312" w:eastAsia="仿宋_GB2312" w:cs="仿宋_GB2312"/>
          <w:sz w:val="32"/>
          <w:szCs w:val="32"/>
        </w:rPr>
        <w:t>万元，主要用于以下方面：</w:t>
      </w:r>
      <w:r>
        <w:rPr>
          <w:rFonts w:hint="eastAsia" w:ascii="仿宋_GB2312" w:hAnsi="宋体" w:eastAsia="仿宋_GB2312" w:cs="仿宋_GB2312"/>
          <w:color w:val="000000"/>
          <w:kern w:val="0"/>
          <w:sz w:val="31"/>
          <w:szCs w:val="31"/>
          <w:lang w:val="en-US" w:eastAsia="zh-CN" w:bidi="ar"/>
        </w:rPr>
        <w:t>城乡环境卫生（类）支出</w:t>
      </w:r>
      <w:r>
        <w:rPr>
          <w:rFonts w:hint="eastAsia" w:ascii="仿宋_GB2312" w:hAnsi="仿宋_GB2312" w:eastAsia="仿宋_GB2312" w:cs="仿宋_GB2312"/>
          <w:sz w:val="32"/>
          <w:szCs w:val="32"/>
          <w:lang w:val="en-US" w:eastAsia="zh-CN"/>
        </w:rPr>
        <w:t>292.38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年度一般公共预算财政拨款支出年初预算为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104.50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292.38</w:t>
      </w:r>
      <w:r>
        <w:rPr>
          <w:rFonts w:hint="eastAsia" w:ascii="仿宋_GB2312" w:hAnsi="仿宋_GB2312" w:eastAsia="仿宋_GB2312" w:cs="仿宋_GB2312"/>
          <w:color w:val="000000" w:themeColor="text1"/>
          <w:sz w:val="32"/>
          <w:szCs w:val="32"/>
          <w14:textFill>
            <w14:solidFill>
              <w14:schemeClr w14:val="tx1"/>
            </w14:solidFill>
          </w14:textFill>
        </w:rPr>
        <w:t>万元，完成年初预算的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279.79</w:t>
      </w:r>
      <w:r>
        <w:rPr>
          <w:rFonts w:hint="eastAsia" w:ascii="仿宋_GB2312" w:hAnsi="仿宋_GB2312" w:eastAsia="仿宋_GB2312" w:cs="仿宋_GB2312"/>
          <w:color w:val="000000" w:themeColor="text1"/>
          <w:sz w:val="32"/>
          <w:szCs w:val="32"/>
          <w14:textFill>
            <w14:solidFill>
              <w14:schemeClr w14:val="tx1"/>
            </w14:solidFill>
          </w14:textFill>
        </w:rPr>
        <w:t>%。其中：</w:t>
      </w:r>
    </w:p>
    <w:p>
      <w:pPr>
        <w:widowControl/>
        <w:spacing w:line="590" w:lineRule="exac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1．</w:t>
      </w:r>
      <w:r>
        <w:rPr>
          <w:rFonts w:hint="eastAsia" w:ascii="仿宋_GB2312" w:hAnsi="宋体" w:eastAsia="仿宋_GB2312" w:cs="仿宋_GB2312"/>
          <w:b/>
          <w:bCs/>
          <w:color w:val="000000"/>
          <w:kern w:val="0"/>
          <w:sz w:val="31"/>
          <w:szCs w:val="31"/>
          <w:lang w:val="en-US" w:eastAsia="zh-CN" w:bidi="ar"/>
        </w:rPr>
        <w:t>城乡社区（类）城乡社区环境卫生（款）城乡社区环境卫生（项）</w:t>
      </w:r>
      <w:r>
        <w:rPr>
          <w:rFonts w:hint="eastAsia" w:ascii="仿宋_GB2312" w:hAnsi="仿宋_GB2312" w:eastAsia="仿宋_GB2312" w:cs="仿宋_GB2312"/>
          <w:b/>
          <w:bCs/>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104.5</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292.38</w:t>
      </w:r>
      <w:r>
        <w:rPr>
          <w:rFonts w:hint="eastAsia" w:ascii="仿宋_GB2312" w:hAnsi="仿宋_GB2312" w:eastAsia="仿宋_GB2312" w:cs="仿宋_GB2312"/>
          <w:color w:val="000000" w:themeColor="text1"/>
          <w:sz w:val="32"/>
          <w:szCs w:val="32"/>
          <w14:textFill>
            <w14:solidFill>
              <w14:schemeClr w14:val="tx1"/>
            </w14:solidFill>
          </w14:textFill>
        </w:rPr>
        <w:t>万元，完成年初预算的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279.79</w:t>
      </w:r>
      <w:r>
        <w:rPr>
          <w:rFonts w:hint="eastAsia" w:ascii="仿宋_GB2312" w:hAnsi="仿宋_GB2312" w:eastAsia="仿宋_GB2312" w:cs="仿宋_GB2312"/>
          <w:color w:val="000000" w:themeColor="text1"/>
          <w:sz w:val="32"/>
          <w:szCs w:val="32"/>
          <w14:textFill>
            <w14:solidFill>
              <w14:schemeClr w14:val="tx1"/>
            </w14:solidFill>
          </w14:textFill>
        </w:rPr>
        <w:t>%。决算数与年初预算数存在差异的主要原因是</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项目投入加大。</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年度一般公共预算财政拨款基本支出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宋体" w:eastAsia="仿宋_GB2312" w:cs="仿宋_GB2312"/>
          <w:color w:val="000000"/>
          <w:kern w:val="0"/>
          <w:sz w:val="31"/>
          <w:szCs w:val="31"/>
          <w:lang w:val="en-US" w:eastAsia="zh-CN" w:bidi="ar"/>
        </w:rPr>
        <w:t xml:space="preserve">本单 位为临时单位，没有人员经费支出。 </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rPr>
        <w:t>全年因公出国（境）团组</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个，累计</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人次。</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公务用车购置及运行费</w:t>
      </w:r>
      <w:r>
        <w:rPr>
          <w:rFonts w:hint="eastAsia" w:ascii="仿宋_GB2312" w:hAnsi="仿宋_GB2312" w:eastAsia="仿宋_GB2312" w:cs="仿宋_GB2312"/>
          <w:color w:val="000000"/>
          <w:sz w:val="32"/>
          <w:szCs w:val="32"/>
          <w:lang w:val="en-US" w:eastAsia="zh-CN"/>
        </w:rPr>
        <w:t>相比2019年与上年持平，主要原因：2020年三公经费与2019年三公经费预算数均为0万元，且支出都为0万元。</w:t>
      </w:r>
    </w:p>
    <w:p>
      <w:pPr>
        <w:widowControl/>
        <w:numPr>
          <w:ilvl w:val="0"/>
          <w:numId w:val="0"/>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numPr>
          <w:ilvl w:val="0"/>
          <w:numId w:val="0"/>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2020年，我部门（单位）纳入预算绩效管理的支出总额为292.39万元，其中人员经费支出0万元，公用经费支出0万元；支出项目共10个，支出金额292.39万元。其中，进行项目绩效自评10个，自评金额292.39万元；纳入重点绩效评价（部门评价或财政评价）10个，评价金额292.39万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20" w:firstLineChars="200"/>
        <w:outlineLvl w:val="2"/>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本单位能够对照申请项目预算时的绩效目标，积极开展项目绩效自评，各项目预算严格控制，节俭使用，项目实施 进度、质量均达到目标要求，项目资金使用效果好、有效， 进一步提升我区城市管理水平，巩固创建成果。</w:t>
      </w:r>
      <w:r>
        <w:rPr>
          <w:rFonts w:hint="eastAsia" w:ascii="仿宋" w:hAnsi="仿宋" w:eastAsia="仿宋" w:cs="仿宋"/>
          <w:color w:val="000000"/>
          <w:kern w:val="0"/>
          <w:sz w:val="32"/>
          <w:szCs w:val="32"/>
          <w:lang w:eastAsia="zh-CN"/>
        </w:rPr>
        <w:t>评价等级为：优秀。</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ind w:firstLine="640" w:firstLineChars="200"/>
        <w:outlineLvl w:val="0"/>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olor w:val="000000"/>
          <w:sz w:val="32"/>
          <w:szCs w:val="32"/>
          <w:lang w:val="en-US" w:eastAsia="zh-CN"/>
        </w:rPr>
        <w:t>本单位2020年度部门预算公开对各项目积极开展项目绩效自评，</w:t>
      </w:r>
      <w:r>
        <w:rPr>
          <w:rFonts w:hint="eastAsia" w:ascii="仿宋_GB2312" w:eastAsia="仿宋_GB2312"/>
          <w:b w:val="0"/>
          <w:bCs/>
          <w:color w:val="000000"/>
          <w:sz w:val="32"/>
          <w:szCs w:val="32"/>
          <w:lang w:val="en-US" w:eastAsia="zh-CN"/>
        </w:rPr>
        <w:t>按照区财政支出绩效评价工作的具体要求，对照评价指标体系进行评价，</w:t>
      </w:r>
      <w:r>
        <w:rPr>
          <w:rFonts w:hint="eastAsia" w:ascii="仿宋" w:hAnsi="仿宋" w:eastAsia="仿宋" w:cs="仿宋"/>
          <w:color w:val="000000"/>
          <w:kern w:val="0"/>
          <w:sz w:val="32"/>
          <w:szCs w:val="32"/>
          <w:lang w:eastAsia="zh-CN"/>
        </w:rPr>
        <w:t>评价等级为：优秀。</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年度政府性基金预算财政拨款支出年初预算为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年度机关运行经费</w:t>
      </w:r>
      <w:r>
        <w:rPr>
          <w:rFonts w:hint="eastAsia" w:ascii="仿宋_GB2312" w:hAnsi="仿宋_GB2312" w:eastAsia="仿宋_GB2312" w:cs="仿宋_GB2312"/>
          <w:sz w:val="32"/>
          <w:szCs w:val="32"/>
          <w:u w:val="dotDash"/>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color w:val="auto"/>
          <w:sz w:val="32"/>
          <w:szCs w:val="32"/>
          <w:highlight w:val="none"/>
          <w:lang w:val="en-US" w:eastAsia="zh-CN"/>
        </w:rPr>
        <w:t>主要原因是</w:t>
      </w:r>
      <w:r>
        <w:rPr>
          <w:rFonts w:hint="eastAsia" w:ascii="仿宋_GB2312" w:hAnsi="宋体" w:eastAsia="仿宋_GB2312" w:cs="仿宋_GB2312"/>
          <w:color w:val="000000"/>
          <w:kern w:val="0"/>
          <w:sz w:val="31"/>
          <w:szCs w:val="31"/>
          <w:lang w:val="en-US" w:eastAsia="zh-CN" w:bidi="ar"/>
        </w:rPr>
        <w:t>我单位不是行政机关，也不是非参照公务员管理事业单位，没有机关运行经费支出。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2020</w:t>
      </w:r>
      <w:r>
        <w:rPr>
          <w:rFonts w:hint="eastAsia" w:ascii="仿宋_GB2312" w:hAnsi="仿宋_GB2312" w:eastAsia="仿宋_GB2312" w:cs="仿宋_GB2312"/>
          <w:sz w:val="32"/>
          <w:szCs w:val="32"/>
          <w:highlight w:val="none"/>
        </w:rPr>
        <w:t>年度机关运行经费支出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万元，较上年度增加</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%。增加（减少）的主要原因是：</w:t>
      </w:r>
      <w:r>
        <w:rPr>
          <w:rFonts w:hint="eastAsia" w:ascii="仿宋_GB2312" w:hAnsi="宋体" w:eastAsia="仿宋_GB2312" w:cs="仿宋_GB2312"/>
          <w:color w:val="000000"/>
          <w:kern w:val="0"/>
          <w:sz w:val="31"/>
          <w:szCs w:val="31"/>
          <w:highlight w:val="none"/>
          <w:lang w:val="en-US" w:eastAsia="zh-CN" w:bidi="ar"/>
        </w:rPr>
        <w:t>我单位</w:t>
      </w:r>
      <w:r>
        <w:rPr>
          <w:rFonts w:hint="eastAsia" w:ascii="仿宋_GB2312" w:hAnsi="宋体" w:eastAsia="仿宋_GB2312" w:cs="仿宋_GB2312"/>
          <w:color w:val="000000"/>
          <w:kern w:val="0"/>
          <w:sz w:val="31"/>
          <w:szCs w:val="31"/>
          <w:lang w:val="en-US" w:eastAsia="zh-CN" w:bidi="ar"/>
        </w:rPr>
        <w:t>不是行政机关，也不是非参照公务员管理事业单位，没有机关运行经费支出。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年期末，我部门共有车辆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90idMBAAClAwAADgAAAGRycy9lMm9Eb2MueG1srVNLbtswEN0XyB0I&#10;7mMpQly4guWggZGiQNEWSHsAmiItAvyBQ1vyBdobdNVN9z2Xz9EhJTlFusmiG2p+fDPvcbS+G4wm&#10;RxFAOdvQm0VJibDctcruG/r1y8P1ihKIzLZMOysaehJA7zZXr9a9r0XlOqdbEQiCWKh739AuRl8X&#10;BfBOGAYL54XFpHTBsIhu2BdtYD2iG11UZfm66F1ofXBcAGB0OybphBheAuikVFxsHT8YYeOIGoRm&#10;ESlBpzzQTZ5WSsHjJylBRKIbikxjPrEJ2rt0Fps1q/eB+U7xaQT2khGecTJMWWx6gdqyyMghqH+g&#10;jOLBgZNxwZ0pRiJZEWRxUz7T5rFjXmQuKDX4i+jw/2D5x+PnQFSLm0CJZQYf/Pzj+/nn7/Ovb6Qq&#10;l7dJod5DjYWPHkvjcO+GVD3FAYOJ+CCDSV+kRDCP+p4u+oohEp4urarVqsQUx9zsIE7xdN0HiO+E&#10;MyQZDQ34gFlXdvwAcSydS1I36x6U1hhntbakb+ibZbXMFy4ZBNcWeyQS47DJisNumBjsXHtCYj0u&#10;QUMt7jwl+r1FjdO+zEaYjd1sHHxQ+y4vVGoP/u0h4jR5yNRhhJ0a4+tlmtOmpfX4289VT3/X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wF90idMBAAClAwAADgAAAAAAAAABACAAAAAe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4aatQBAACl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zeUmK5wYGff3w///x9/vWN&#10;VOVymRTqPdSY+OgxNQ73bsC9me8BLxPxoQ0mfZESwTjqe7roK4dIRHq0qlarEkMCY7OD+MXTcx8g&#10;vpPOkGQwGnCAWVd+/ABxTJ1TUjXrHpTWeYjakp7RN8tqmR9cIgiuLdZIJMZmkxWH3TAx27nmhMR6&#10;XAJGLe48Jfq9RY3TvsxGmI3dbBx8UPsuL1TqBPzbQ8RucpOpwgg7FcbpZZrTpqX1+NvPWU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uuGmrUAQAApQMAAA4AAAAAAAAAAQAgAAAAH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NWI4Njg2NzUyMjE5ZDg4MjZjYWNkYWQ4YmEwMWQifQ=="/>
  </w:docVars>
  <w:rsids>
    <w:rsidRoot w:val="00000000"/>
    <w:rsid w:val="04A10E05"/>
    <w:rsid w:val="0A08617B"/>
    <w:rsid w:val="121F5E81"/>
    <w:rsid w:val="1D650D8F"/>
    <w:rsid w:val="21DC286A"/>
    <w:rsid w:val="240E06F2"/>
    <w:rsid w:val="2D5347F6"/>
    <w:rsid w:val="3E4C25CA"/>
    <w:rsid w:val="45BF57A3"/>
    <w:rsid w:val="4701142B"/>
    <w:rsid w:val="497A2108"/>
    <w:rsid w:val="4EFC09E4"/>
    <w:rsid w:val="587F2E51"/>
    <w:rsid w:val="5BF760DE"/>
    <w:rsid w:val="6F571436"/>
    <w:rsid w:val="7EBF2B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unhideWhenUsed/>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annotation reference"/>
    <w:basedOn w:val="6"/>
    <w:qFormat/>
    <w:uiPriority w:val="0"/>
    <w:rPr>
      <w:sz w:val="21"/>
      <w:szCs w:val="21"/>
    </w:rPr>
  </w:style>
  <w:style w:type="character" w:customStyle="1" w:styleId="8">
    <w:name w:val="font11"/>
    <w:basedOn w:val="6"/>
    <w:qFormat/>
    <w:uiPriority w:val="0"/>
    <w:rPr>
      <w:rFonts w:hint="eastAsia" w:ascii="宋体" w:hAnsi="宋体" w:eastAsia="宋体" w:cs="宋体"/>
      <w:color w:val="000000"/>
      <w:sz w:val="20"/>
      <w:szCs w:val="20"/>
      <w:u w:val="none"/>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51"/>
    <w:basedOn w:val="6"/>
    <w:qFormat/>
    <w:uiPriority w:val="0"/>
    <w:rPr>
      <w:rFonts w:hint="eastAsia" w:ascii="宋体" w:hAnsi="宋体" w:eastAsia="宋体" w:cs="宋体"/>
      <w:color w:val="000000"/>
      <w:sz w:val="24"/>
      <w:szCs w:val="24"/>
      <w:u w:val="none"/>
    </w:rPr>
  </w:style>
  <w:style w:type="character" w:customStyle="1" w:styleId="11">
    <w:name w:val="font4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6071</Words>
  <Characters>7125</Characters>
  <Lines>0</Lines>
  <Paragraphs>0</Paragraphs>
  <TotalTime>2</TotalTime>
  <ScaleCrop>false</ScaleCrop>
  <LinksUpToDate>false</LinksUpToDate>
  <CharactersWithSpaces>7491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文档存本地丢失不负责</cp:lastModifiedBy>
  <dcterms:modified xsi:type="dcterms:W3CDTF">2022-09-05T08:15:38Z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B43EE213B6A64A878D0D121E3FD2EDA8</vt:lpwstr>
  </property>
</Properties>
</file>