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67D6" w14:textId="77777777" w:rsidR="00A046DC" w:rsidRDefault="00A046DC">
      <w:pPr>
        <w:widowControl/>
        <w:jc w:val="left"/>
        <w:rPr>
          <w:rFonts w:ascii="黑体" w:eastAsia="黑体" w:hAnsi="宋体" w:cs="宋体"/>
          <w:kern w:val="0"/>
          <w:sz w:val="28"/>
          <w:szCs w:val="28"/>
        </w:rPr>
      </w:pPr>
    </w:p>
    <w:p w14:paraId="56E35814" w14:textId="77777777" w:rsidR="00A046DC" w:rsidRDefault="00A046DC">
      <w:pPr>
        <w:widowControl/>
        <w:jc w:val="left"/>
        <w:rPr>
          <w:rFonts w:ascii="黑体" w:eastAsia="黑体" w:hAnsi="宋体" w:cs="宋体"/>
          <w:kern w:val="0"/>
          <w:sz w:val="28"/>
          <w:szCs w:val="28"/>
        </w:rPr>
      </w:pPr>
    </w:p>
    <w:p w14:paraId="6AB6E136" w14:textId="77777777" w:rsidR="00A046DC" w:rsidRDefault="00A046DC">
      <w:pPr>
        <w:widowControl/>
        <w:jc w:val="left"/>
        <w:rPr>
          <w:rFonts w:ascii="黑体" w:eastAsia="黑体" w:hAnsi="宋体" w:cs="宋体"/>
          <w:kern w:val="0"/>
          <w:sz w:val="28"/>
          <w:szCs w:val="28"/>
        </w:rPr>
      </w:pPr>
    </w:p>
    <w:p w14:paraId="04EACEAE" w14:textId="77777777" w:rsidR="00A046DC" w:rsidRDefault="00A046DC">
      <w:pPr>
        <w:widowControl/>
        <w:jc w:val="left"/>
        <w:rPr>
          <w:rFonts w:ascii="黑体" w:eastAsia="黑体" w:hAnsi="宋体" w:cs="宋体"/>
          <w:kern w:val="0"/>
          <w:sz w:val="28"/>
          <w:szCs w:val="28"/>
        </w:rPr>
      </w:pPr>
    </w:p>
    <w:p w14:paraId="3F079891" w14:textId="77777777" w:rsidR="00A046DC" w:rsidRDefault="00A046DC">
      <w:pPr>
        <w:widowControl/>
        <w:jc w:val="left"/>
        <w:rPr>
          <w:rFonts w:ascii="黑体" w:eastAsia="黑体" w:hAnsi="宋体" w:cs="宋体"/>
          <w:kern w:val="0"/>
          <w:sz w:val="28"/>
          <w:szCs w:val="28"/>
        </w:rPr>
      </w:pPr>
    </w:p>
    <w:p w14:paraId="2174C4B9" w14:textId="77777777" w:rsidR="00A046DC" w:rsidRDefault="00A046DC">
      <w:pPr>
        <w:widowControl/>
        <w:jc w:val="left"/>
        <w:rPr>
          <w:rFonts w:ascii="黑体" w:eastAsia="黑体" w:hAnsi="宋体" w:cs="宋体"/>
          <w:kern w:val="0"/>
          <w:sz w:val="28"/>
          <w:szCs w:val="28"/>
        </w:rPr>
      </w:pPr>
    </w:p>
    <w:p w14:paraId="17ABC314" w14:textId="77777777" w:rsidR="00A046DC" w:rsidRDefault="00A046DC">
      <w:pPr>
        <w:widowControl/>
        <w:jc w:val="left"/>
        <w:rPr>
          <w:rFonts w:ascii="黑体" w:eastAsia="黑体" w:hAnsi="宋体" w:cs="宋体"/>
          <w:kern w:val="0"/>
          <w:sz w:val="28"/>
          <w:szCs w:val="28"/>
        </w:rPr>
      </w:pPr>
    </w:p>
    <w:p w14:paraId="33678FE3" w14:textId="77777777" w:rsidR="00A046DC" w:rsidRDefault="00000000">
      <w:pPr>
        <w:jc w:val="center"/>
        <w:rPr>
          <w:rFonts w:ascii="黑体" w:eastAsia="黑体" w:hAnsi="黑体" w:cs="黑体"/>
          <w:sz w:val="52"/>
          <w:szCs w:val="52"/>
        </w:rPr>
      </w:pPr>
      <w:r>
        <w:rPr>
          <w:rFonts w:ascii="黑体" w:eastAsia="黑体" w:hAnsi="黑体" w:cs="黑体" w:hint="eastAsia"/>
          <w:sz w:val="52"/>
          <w:szCs w:val="52"/>
        </w:rPr>
        <w:t>2020年度</w:t>
      </w:r>
    </w:p>
    <w:p w14:paraId="2707C518" w14:textId="77777777" w:rsidR="00A046DC" w:rsidRDefault="00000000">
      <w:pPr>
        <w:jc w:val="center"/>
        <w:rPr>
          <w:rFonts w:ascii="黑体" w:eastAsia="黑体" w:hAnsi="黑体" w:cs="黑体"/>
          <w:sz w:val="52"/>
          <w:szCs w:val="52"/>
        </w:rPr>
      </w:pPr>
      <w:proofErr w:type="gramStart"/>
      <w:r>
        <w:rPr>
          <w:rFonts w:ascii="黑体" w:eastAsia="黑体" w:hAnsi="黑体" w:cs="黑体" w:hint="eastAsia"/>
          <w:sz w:val="52"/>
          <w:szCs w:val="52"/>
        </w:rPr>
        <w:t>洛</w:t>
      </w:r>
      <w:proofErr w:type="gramEnd"/>
      <w:r>
        <w:rPr>
          <w:rFonts w:ascii="黑体" w:eastAsia="黑体" w:hAnsi="黑体" w:cs="黑体" w:hint="eastAsia"/>
          <w:sz w:val="52"/>
          <w:szCs w:val="52"/>
        </w:rPr>
        <w:t>龙区市场监督管理局部门决算</w:t>
      </w:r>
    </w:p>
    <w:p w14:paraId="7020E416" w14:textId="77777777" w:rsidR="00A046DC" w:rsidRDefault="00A046DC">
      <w:pPr>
        <w:jc w:val="center"/>
        <w:rPr>
          <w:rFonts w:ascii="黑体" w:eastAsia="黑体" w:hAnsi="黑体" w:cs="黑体"/>
          <w:sz w:val="52"/>
          <w:szCs w:val="52"/>
        </w:rPr>
      </w:pPr>
    </w:p>
    <w:p w14:paraId="38DB0CF0" w14:textId="77777777" w:rsidR="00A046DC" w:rsidRDefault="00A046DC">
      <w:pPr>
        <w:jc w:val="center"/>
        <w:rPr>
          <w:rFonts w:ascii="黑体" w:eastAsia="黑体" w:hAnsi="黑体" w:cs="黑体"/>
          <w:sz w:val="52"/>
          <w:szCs w:val="52"/>
        </w:rPr>
      </w:pPr>
    </w:p>
    <w:p w14:paraId="468C3139" w14:textId="77777777" w:rsidR="00A046DC" w:rsidRDefault="00A046DC">
      <w:pPr>
        <w:jc w:val="center"/>
        <w:rPr>
          <w:rFonts w:ascii="黑体" w:eastAsia="黑体" w:hAnsi="黑体" w:cs="黑体"/>
          <w:sz w:val="52"/>
          <w:szCs w:val="52"/>
        </w:rPr>
      </w:pPr>
    </w:p>
    <w:p w14:paraId="0B492FFA" w14:textId="77777777" w:rsidR="00A046DC" w:rsidRDefault="00A046DC">
      <w:pPr>
        <w:jc w:val="center"/>
        <w:rPr>
          <w:rFonts w:ascii="黑体" w:eastAsia="黑体" w:hAnsi="黑体" w:cs="黑体"/>
          <w:sz w:val="52"/>
          <w:szCs w:val="52"/>
        </w:rPr>
      </w:pPr>
    </w:p>
    <w:p w14:paraId="11C23C40" w14:textId="77777777" w:rsidR="00A046DC" w:rsidRDefault="00A046DC">
      <w:pPr>
        <w:jc w:val="center"/>
        <w:rPr>
          <w:rFonts w:ascii="黑体" w:eastAsia="黑体" w:hAnsi="黑体" w:cs="黑体"/>
          <w:sz w:val="52"/>
          <w:szCs w:val="52"/>
        </w:rPr>
      </w:pPr>
    </w:p>
    <w:p w14:paraId="638E2017" w14:textId="77777777" w:rsidR="00A046DC" w:rsidRDefault="00A046DC">
      <w:pPr>
        <w:jc w:val="center"/>
        <w:rPr>
          <w:rFonts w:ascii="黑体" w:eastAsia="黑体" w:hAnsi="黑体" w:cs="黑体"/>
          <w:sz w:val="52"/>
          <w:szCs w:val="52"/>
        </w:rPr>
      </w:pPr>
    </w:p>
    <w:p w14:paraId="5E71FF13" w14:textId="77777777" w:rsidR="00A046DC" w:rsidRDefault="00000000">
      <w:pPr>
        <w:jc w:val="center"/>
        <w:rPr>
          <w:rFonts w:ascii="黑体" w:eastAsia="黑体" w:hAnsi="黑体" w:cs="黑体"/>
          <w:sz w:val="32"/>
          <w:szCs w:val="32"/>
        </w:rPr>
        <w:sectPr w:rsidR="00A046DC">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二〇二一年八月</w:t>
      </w:r>
    </w:p>
    <w:p w14:paraId="56536B3F" w14:textId="77777777" w:rsidR="00A046DC"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59462694" w14:textId="77777777" w:rsidR="00A046DC" w:rsidRDefault="00000000">
      <w:pPr>
        <w:jc w:val="left"/>
        <w:rPr>
          <w:rFonts w:ascii="黑体" w:eastAsia="黑体" w:hAnsi="黑体" w:cs="黑体"/>
          <w:sz w:val="32"/>
          <w:szCs w:val="32"/>
        </w:rPr>
      </w:pPr>
      <w:r>
        <w:rPr>
          <w:rFonts w:ascii="黑体" w:eastAsia="黑体" w:hAnsi="黑体" w:cs="黑体" w:hint="eastAsia"/>
          <w:sz w:val="32"/>
          <w:szCs w:val="32"/>
        </w:rPr>
        <w:t xml:space="preserve">第一部分　　</w:t>
      </w:r>
      <w:proofErr w:type="gramStart"/>
      <w:r>
        <w:rPr>
          <w:rFonts w:ascii="黑体" w:eastAsia="黑体" w:hAnsi="黑体" w:cs="黑体" w:hint="eastAsia"/>
          <w:sz w:val="32"/>
          <w:szCs w:val="32"/>
        </w:rPr>
        <w:t>洛</w:t>
      </w:r>
      <w:proofErr w:type="gramEnd"/>
      <w:r>
        <w:rPr>
          <w:rFonts w:ascii="黑体" w:eastAsia="黑体" w:hAnsi="黑体" w:cs="黑体" w:hint="eastAsia"/>
          <w:sz w:val="32"/>
          <w:szCs w:val="32"/>
        </w:rPr>
        <w:t>龙区市场监督管理局概况</w:t>
      </w:r>
    </w:p>
    <w:p w14:paraId="7342DBAC" w14:textId="77777777" w:rsidR="00A046DC"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14:paraId="66F24281" w14:textId="77777777" w:rsidR="00A046DC"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14:paraId="76EE33CA" w14:textId="77777777" w:rsidR="00A046DC" w:rsidRDefault="00000000">
      <w:pPr>
        <w:jc w:val="left"/>
        <w:rPr>
          <w:rFonts w:ascii="黑体" w:eastAsia="黑体" w:hAnsi="黑体" w:cs="黑体"/>
          <w:sz w:val="32"/>
          <w:szCs w:val="32"/>
        </w:rPr>
      </w:pPr>
      <w:r>
        <w:rPr>
          <w:rFonts w:ascii="黑体" w:eastAsia="黑体" w:hAnsi="黑体" w:cs="黑体" w:hint="eastAsia"/>
          <w:sz w:val="32"/>
          <w:szCs w:val="32"/>
        </w:rPr>
        <w:t>第二部分　　2020年度部门决算表</w:t>
      </w:r>
    </w:p>
    <w:p w14:paraId="2B45BFED"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一、收入支出决算总表</w:t>
      </w:r>
    </w:p>
    <w:p w14:paraId="2DE09E2C"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二、收入决算表</w:t>
      </w:r>
    </w:p>
    <w:p w14:paraId="1D20C4DE"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三、支出决算表</w:t>
      </w:r>
    </w:p>
    <w:p w14:paraId="0D2D4C0C"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14:paraId="1DCB2235"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14:paraId="14EC076D"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14:paraId="3DE58E9B"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14:paraId="2A9C9804"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14:paraId="5480A4C6" w14:textId="77777777" w:rsidR="00A046DC" w:rsidRDefault="00000000">
      <w:pPr>
        <w:jc w:val="left"/>
        <w:rPr>
          <w:rFonts w:ascii="黑体" w:eastAsia="黑体" w:hAnsi="黑体" w:cs="黑体"/>
          <w:sz w:val="32"/>
          <w:szCs w:val="32"/>
        </w:rPr>
      </w:pPr>
      <w:r>
        <w:rPr>
          <w:rFonts w:ascii="黑体" w:eastAsia="黑体" w:hAnsi="黑体" w:cs="黑体" w:hint="eastAsia"/>
          <w:sz w:val="32"/>
          <w:szCs w:val="32"/>
        </w:rPr>
        <w:t>第三部分　　2020年度部门决算情况说明</w:t>
      </w:r>
    </w:p>
    <w:p w14:paraId="663E192B"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14:paraId="77586D45"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二、收入决算情况说明</w:t>
      </w:r>
    </w:p>
    <w:p w14:paraId="1664EA6D"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三、支出决算情况说明</w:t>
      </w:r>
    </w:p>
    <w:p w14:paraId="388222E7"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14:paraId="7381C072"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14:paraId="53C0CF06"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14:paraId="26D2EB87"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14:paraId="04A2656D"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14:paraId="6519AFBB"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14:paraId="25778E6C"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14:paraId="769F97E1"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14:paraId="639279FD" w14:textId="77777777" w:rsidR="00A046DC" w:rsidRDefault="00000000">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14:paraId="055EC471" w14:textId="77777777" w:rsidR="00A046DC" w:rsidRDefault="00000000">
      <w:pPr>
        <w:jc w:val="left"/>
        <w:rPr>
          <w:rFonts w:ascii="黑体" w:eastAsia="黑体" w:hAnsi="黑体" w:cs="黑体"/>
          <w:sz w:val="32"/>
          <w:szCs w:val="32"/>
        </w:rPr>
      </w:pPr>
      <w:r>
        <w:rPr>
          <w:rFonts w:ascii="黑体" w:eastAsia="黑体" w:hAnsi="黑体" w:cs="黑体" w:hint="eastAsia"/>
          <w:sz w:val="32"/>
          <w:szCs w:val="32"/>
        </w:rPr>
        <w:t>第四部分　　名词解释</w:t>
      </w:r>
    </w:p>
    <w:p w14:paraId="1FA2DB40" w14:textId="77777777" w:rsidR="00A046DC" w:rsidRDefault="00A046DC">
      <w:pPr>
        <w:ind w:firstLineChars="200" w:firstLine="640"/>
        <w:jc w:val="left"/>
        <w:rPr>
          <w:rFonts w:ascii="宋体" w:hAnsi="宋体" w:cs="宋体"/>
          <w:sz w:val="32"/>
          <w:szCs w:val="32"/>
        </w:rPr>
      </w:pPr>
    </w:p>
    <w:p w14:paraId="45C1E291" w14:textId="77777777" w:rsidR="00A046DC" w:rsidRDefault="00A046DC">
      <w:pPr>
        <w:jc w:val="left"/>
        <w:rPr>
          <w:rFonts w:ascii="黑体" w:eastAsia="黑体" w:hAnsi="黑体" w:cs="黑体"/>
          <w:sz w:val="32"/>
          <w:szCs w:val="32"/>
        </w:rPr>
        <w:sectPr w:rsidR="00A046DC">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14:paraId="3A1DB6FB" w14:textId="77777777" w:rsidR="00A046DC" w:rsidRDefault="00A046DC">
      <w:pPr>
        <w:widowControl/>
        <w:jc w:val="left"/>
        <w:rPr>
          <w:rFonts w:ascii="黑体" w:eastAsia="黑体" w:hAnsi="宋体" w:cs="宋体"/>
          <w:kern w:val="0"/>
          <w:sz w:val="28"/>
          <w:szCs w:val="28"/>
        </w:rPr>
      </w:pPr>
    </w:p>
    <w:p w14:paraId="2101A103" w14:textId="77777777" w:rsidR="00A046DC" w:rsidRDefault="00A046DC">
      <w:pPr>
        <w:widowControl/>
        <w:jc w:val="left"/>
        <w:rPr>
          <w:rFonts w:ascii="黑体" w:eastAsia="黑体" w:hAnsi="宋体" w:cs="宋体"/>
          <w:kern w:val="0"/>
          <w:sz w:val="28"/>
          <w:szCs w:val="28"/>
        </w:rPr>
      </w:pPr>
    </w:p>
    <w:p w14:paraId="568AC429" w14:textId="77777777" w:rsidR="00A046DC" w:rsidRDefault="00A046DC">
      <w:pPr>
        <w:widowControl/>
        <w:jc w:val="left"/>
        <w:rPr>
          <w:rFonts w:ascii="黑体" w:eastAsia="黑体" w:hAnsi="宋体" w:cs="宋体"/>
          <w:kern w:val="0"/>
          <w:sz w:val="28"/>
          <w:szCs w:val="28"/>
        </w:rPr>
      </w:pPr>
    </w:p>
    <w:p w14:paraId="24942B18" w14:textId="77777777" w:rsidR="00A046DC" w:rsidRDefault="00A046DC">
      <w:pPr>
        <w:widowControl/>
        <w:jc w:val="left"/>
        <w:rPr>
          <w:rFonts w:ascii="黑体" w:eastAsia="黑体" w:hAnsi="宋体" w:cs="宋体"/>
          <w:kern w:val="0"/>
          <w:sz w:val="28"/>
          <w:szCs w:val="28"/>
        </w:rPr>
      </w:pPr>
    </w:p>
    <w:p w14:paraId="6345F528" w14:textId="77777777" w:rsidR="00A046DC" w:rsidRDefault="00A046DC">
      <w:pPr>
        <w:widowControl/>
        <w:jc w:val="left"/>
        <w:rPr>
          <w:rFonts w:ascii="黑体" w:eastAsia="黑体" w:hAnsi="宋体" w:cs="宋体"/>
          <w:kern w:val="0"/>
          <w:sz w:val="28"/>
          <w:szCs w:val="28"/>
        </w:rPr>
      </w:pPr>
    </w:p>
    <w:p w14:paraId="0DDAFDA4" w14:textId="77777777" w:rsidR="00A046DC" w:rsidRDefault="00A046DC">
      <w:pPr>
        <w:widowControl/>
        <w:jc w:val="left"/>
        <w:rPr>
          <w:rFonts w:ascii="黑体" w:eastAsia="黑体" w:hAnsi="宋体" w:cs="宋体"/>
          <w:kern w:val="0"/>
          <w:sz w:val="28"/>
          <w:szCs w:val="28"/>
        </w:rPr>
      </w:pPr>
    </w:p>
    <w:p w14:paraId="25412497" w14:textId="77777777" w:rsidR="00A046DC" w:rsidRDefault="00A046DC">
      <w:pPr>
        <w:widowControl/>
        <w:jc w:val="left"/>
        <w:rPr>
          <w:rFonts w:ascii="黑体" w:eastAsia="黑体" w:hAnsi="宋体" w:cs="宋体"/>
          <w:kern w:val="0"/>
          <w:sz w:val="28"/>
          <w:szCs w:val="28"/>
        </w:rPr>
      </w:pPr>
    </w:p>
    <w:p w14:paraId="4F258E8B" w14:textId="77777777" w:rsidR="00A046DC" w:rsidRDefault="00000000">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第一部分  </w:t>
      </w:r>
      <w:proofErr w:type="gramStart"/>
      <w:r>
        <w:rPr>
          <w:rFonts w:ascii="黑体" w:eastAsia="黑体" w:hAnsi="黑体" w:cs="黑体" w:hint="eastAsia"/>
          <w:sz w:val="48"/>
          <w:szCs w:val="48"/>
        </w:rPr>
        <w:t>洛</w:t>
      </w:r>
      <w:proofErr w:type="gramEnd"/>
      <w:r>
        <w:rPr>
          <w:rFonts w:ascii="黑体" w:eastAsia="黑体" w:hAnsi="黑体" w:cs="黑体" w:hint="eastAsia"/>
          <w:sz w:val="48"/>
          <w:szCs w:val="48"/>
        </w:rPr>
        <w:t>龙区市场监督管理局概况</w:t>
      </w:r>
    </w:p>
    <w:p w14:paraId="6EDA5498" w14:textId="77777777" w:rsidR="00A046DC" w:rsidRDefault="00A046DC">
      <w:pPr>
        <w:widowControl/>
        <w:jc w:val="left"/>
        <w:rPr>
          <w:rFonts w:ascii="黑体" w:eastAsia="黑体" w:hAnsi="宋体" w:cs="宋体"/>
          <w:kern w:val="0"/>
          <w:sz w:val="28"/>
          <w:szCs w:val="28"/>
        </w:rPr>
      </w:pPr>
    </w:p>
    <w:p w14:paraId="48EC2CDA" w14:textId="77777777" w:rsidR="00A046DC" w:rsidRDefault="00A046DC">
      <w:pPr>
        <w:widowControl/>
        <w:jc w:val="left"/>
        <w:rPr>
          <w:rFonts w:ascii="黑体" w:eastAsia="黑体" w:hAnsi="宋体" w:cs="宋体"/>
          <w:kern w:val="0"/>
          <w:sz w:val="28"/>
          <w:szCs w:val="28"/>
        </w:rPr>
        <w:sectPr w:rsidR="00A046DC">
          <w:pgSz w:w="11906" w:h="16838"/>
          <w:pgMar w:top="1440" w:right="1800" w:bottom="1440" w:left="1800" w:header="720" w:footer="720" w:gutter="0"/>
          <w:pgNumType w:fmt="numberInDash"/>
          <w:cols w:space="720"/>
          <w:docGrid w:type="lines" w:linePitch="312"/>
        </w:sectPr>
      </w:pPr>
    </w:p>
    <w:p w14:paraId="278174BF" w14:textId="77777777" w:rsidR="00A046DC" w:rsidRDefault="0000000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14:paraId="2C689D27" w14:textId="77777777" w:rsidR="00A046DC" w:rsidRDefault="00000000">
      <w:pPr>
        <w:ind w:firstLine="640"/>
        <w:rPr>
          <w:rFonts w:ascii="华文仿宋" w:eastAsia="华文仿宋" w:hAnsi="华文仿宋"/>
          <w:kern w:val="0"/>
          <w:sz w:val="32"/>
          <w:szCs w:val="32"/>
        </w:rPr>
      </w:pPr>
      <w:r>
        <w:rPr>
          <w:rFonts w:ascii="华文仿宋" w:eastAsia="华文仿宋" w:hAnsi="华文仿宋"/>
          <w:kern w:val="0"/>
          <w:sz w:val="32"/>
          <w:szCs w:val="32"/>
        </w:rPr>
        <w:t>区市场</w:t>
      </w:r>
      <w:r>
        <w:rPr>
          <w:rFonts w:ascii="华文仿宋" w:eastAsia="华文仿宋" w:hAnsi="华文仿宋"/>
          <w:color w:val="000000"/>
          <w:kern w:val="0"/>
          <w:sz w:val="32"/>
          <w:szCs w:val="32"/>
        </w:rPr>
        <w:t>监督管理局</w:t>
      </w:r>
      <w:r>
        <w:rPr>
          <w:rFonts w:ascii="华文仿宋" w:eastAsia="华文仿宋" w:hAnsi="华文仿宋"/>
          <w:color w:val="000000"/>
          <w:sz w:val="32"/>
          <w:szCs w:val="32"/>
        </w:rPr>
        <w:t>贯彻落实党中央关于</w:t>
      </w:r>
      <w:r>
        <w:rPr>
          <w:rFonts w:ascii="华文仿宋" w:eastAsia="华文仿宋" w:hAnsi="华文仿宋"/>
          <w:color w:val="000000"/>
          <w:kern w:val="0"/>
          <w:sz w:val="32"/>
          <w:szCs w:val="32"/>
        </w:rPr>
        <w:t>市场监督管理</w:t>
      </w:r>
      <w:r>
        <w:rPr>
          <w:rFonts w:ascii="华文仿宋" w:eastAsia="华文仿宋" w:hAnsi="华文仿宋"/>
          <w:color w:val="000000"/>
          <w:sz w:val="32"/>
          <w:szCs w:val="32"/>
        </w:rPr>
        <w:t>工作的方针政策和决策部署以及省委、市委、区委工作要求，在履行职责过程中坚持和加强党对</w:t>
      </w:r>
      <w:r>
        <w:rPr>
          <w:rFonts w:ascii="华文仿宋" w:eastAsia="华文仿宋" w:hAnsi="华文仿宋"/>
          <w:color w:val="000000"/>
          <w:kern w:val="0"/>
          <w:sz w:val="32"/>
          <w:szCs w:val="32"/>
        </w:rPr>
        <w:t>市场监督管理</w:t>
      </w:r>
      <w:r>
        <w:rPr>
          <w:rFonts w:ascii="华文仿宋" w:eastAsia="华文仿宋" w:hAnsi="华文仿宋"/>
          <w:color w:val="000000"/>
          <w:sz w:val="32"/>
          <w:szCs w:val="32"/>
        </w:rPr>
        <w:t>工作的集中统一领导。主</w:t>
      </w:r>
      <w:r>
        <w:rPr>
          <w:rFonts w:ascii="华文仿宋" w:eastAsia="华文仿宋" w:hAnsi="华文仿宋"/>
          <w:sz w:val="32"/>
          <w:szCs w:val="32"/>
        </w:rPr>
        <w:t>要职责是：</w:t>
      </w:r>
    </w:p>
    <w:p w14:paraId="4461ABDF"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（一）负责全区市场综合监督管理。</w:t>
      </w:r>
      <w:r>
        <w:rPr>
          <w:rFonts w:ascii="华文仿宋" w:eastAsia="华文仿宋" w:hAnsi="华文仿宋"/>
          <w:kern w:val="0"/>
          <w:sz w:val="32"/>
          <w:szCs w:val="32"/>
        </w:rPr>
        <w:t>宣传贯彻执行国家、省、</w:t>
      </w:r>
      <w:r>
        <w:rPr>
          <w:rFonts w:ascii="华文仿宋" w:eastAsia="华文仿宋" w:hAnsi="华文仿宋" w:hint="eastAsia"/>
          <w:kern w:val="0"/>
          <w:sz w:val="32"/>
          <w:szCs w:val="32"/>
        </w:rPr>
        <w:t>市市场监督管理</w:t>
      </w:r>
      <w:r>
        <w:rPr>
          <w:rFonts w:ascii="华文仿宋" w:eastAsia="华文仿宋" w:hAnsi="华文仿宋"/>
          <w:kern w:val="0"/>
          <w:sz w:val="32"/>
          <w:szCs w:val="32"/>
        </w:rPr>
        <w:t>方面的法律法规、规章政策和标准规范；拟订并组织实施</w:t>
      </w:r>
      <w:r>
        <w:rPr>
          <w:rFonts w:ascii="华文仿宋" w:eastAsia="华文仿宋" w:hAnsi="华文仿宋" w:hint="eastAsia"/>
          <w:kern w:val="0"/>
          <w:sz w:val="32"/>
          <w:szCs w:val="32"/>
        </w:rPr>
        <w:t>全区</w:t>
      </w:r>
      <w:r>
        <w:rPr>
          <w:rFonts w:ascii="华文仿宋" w:eastAsia="华文仿宋" w:hAnsi="华文仿宋"/>
          <w:kern w:val="0"/>
          <w:sz w:val="32"/>
          <w:szCs w:val="32"/>
        </w:rPr>
        <w:t>市场监督管理事业发展规划；</w:t>
      </w:r>
      <w:r>
        <w:rPr>
          <w:rFonts w:ascii="华文仿宋" w:eastAsia="华文仿宋" w:hAnsi="华文仿宋" w:hint="eastAsia"/>
          <w:kern w:val="0"/>
          <w:sz w:val="32"/>
          <w:szCs w:val="32"/>
        </w:rPr>
        <w:t>组织实施有关质量强区战略、食品安全战略、标准化战略、知识产权战略；拟定并组织实施市场监管有关规则，规范和维护市场秩序，营造诚实守信、公平竞争的市场环境。</w:t>
      </w:r>
    </w:p>
    <w:p w14:paraId="720B6785"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（二）</w:t>
      </w:r>
      <w:r>
        <w:rPr>
          <w:rFonts w:ascii="华文仿宋" w:eastAsia="华文仿宋" w:hAnsi="华文仿宋"/>
          <w:kern w:val="0"/>
          <w:sz w:val="32"/>
          <w:szCs w:val="32"/>
        </w:rPr>
        <w:t>负责</w:t>
      </w:r>
      <w:r>
        <w:rPr>
          <w:rFonts w:ascii="华文仿宋" w:eastAsia="华文仿宋" w:hAnsi="华文仿宋" w:hint="eastAsia"/>
          <w:kern w:val="0"/>
          <w:sz w:val="32"/>
          <w:szCs w:val="32"/>
        </w:rPr>
        <w:t>全区市场</w:t>
      </w:r>
      <w:r>
        <w:rPr>
          <w:rFonts w:ascii="华文仿宋" w:eastAsia="华文仿宋" w:hAnsi="华文仿宋"/>
          <w:kern w:val="0"/>
          <w:sz w:val="32"/>
          <w:szCs w:val="32"/>
        </w:rPr>
        <w:t>监督管理</w:t>
      </w:r>
      <w:r>
        <w:rPr>
          <w:rFonts w:ascii="华文仿宋" w:eastAsia="华文仿宋" w:hAnsi="华文仿宋" w:hint="eastAsia"/>
          <w:kern w:val="0"/>
          <w:sz w:val="32"/>
          <w:szCs w:val="32"/>
        </w:rPr>
        <w:t>涉及</w:t>
      </w:r>
      <w:r>
        <w:rPr>
          <w:rFonts w:ascii="华文仿宋" w:eastAsia="华文仿宋" w:hAnsi="华文仿宋"/>
          <w:kern w:val="0"/>
          <w:sz w:val="32"/>
          <w:szCs w:val="32"/>
        </w:rPr>
        <w:t>的各类行政许可和行政审批</w:t>
      </w:r>
      <w:r>
        <w:rPr>
          <w:rFonts w:ascii="华文仿宋" w:eastAsia="华文仿宋" w:hAnsi="华文仿宋" w:hint="eastAsia"/>
          <w:kern w:val="0"/>
          <w:sz w:val="32"/>
          <w:szCs w:val="32"/>
        </w:rPr>
        <w:t>。负责各类市场主体的登记注册；负责全区食品经营许可证、食品小经营店登记证、食品小作坊登记证、食品小摊点备案证的登记发放；负责一般股权出质登记工作。</w:t>
      </w:r>
    </w:p>
    <w:p w14:paraId="3A8F4D88"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（三）加强信用监管，推动市场主体信用体系建设。</w:t>
      </w:r>
      <w:r>
        <w:rPr>
          <w:rFonts w:ascii="华文仿宋" w:eastAsia="华文仿宋" w:hAnsi="华文仿宋"/>
          <w:kern w:val="0"/>
          <w:sz w:val="32"/>
          <w:szCs w:val="32"/>
        </w:rPr>
        <w:t>负责依法开展企业信息公示工作，推动建立企业经营异常名录制度；</w:t>
      </w:r>
      <w:r>
        <w:rPr>
          <w:rFonts w:ascii="华文仿宋" w:eastAsia="华文仿宋" w:hAnsi="华文仿宋" w:hint="eastAsia"/>
          <w:kern w:val="0"/>
          <w:sz w:val="32"/>
          <w:szCs w:val="32"/>
        </w:rPr>
        <w:t>组织网络商品交易信用体系建设；</w:t>
      </w:r>
      <w:r>
        <w:rPr>
          <w:rFonts w:ascii="华文仿宋" w:eastAsia="华文仿宋" w:hAnsi="华文仿宋"/>
          <w:kern w:val="0"/>
          <w:sz w:val="32"/>
          <w:szCs w:val="32"/>
        </w:rPr>
        <w:t>组织指导企业、个体工商户、商品交易市场信用分类管理，研究分析并依法发布市场主体登记注册基础信息，为政府决策和社会公众提供相关信息服务。</w:t>
      </w:r>
    </w:p>
    <w:p w14:paraId="269E29C2"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（四）负责组织开展全区市场监管综合执法工作。</w:t>
      </w:r>
      <w:r>
        <w:rPr>
          <w:rFonts w:ascii="华文仿宋" w:eastAsia="华文仿宋" w:hAnsi="华文仿宋"/>
          <w:kern w:val="0"/>
          <w:sz w:val="32"/>
          <w:szCs w:val="32"/>
        </w:rPr>
        <w:t>依法查处</w:t>
      </w:r>
      <w:r>
        <w:rPr>
          <w:rFonts w:ascii="华文仿宋" w:eastAsia="华文仿宋" w:hAnsi="华文仿宋" w:hint="eastAsia"/>
          <w:kern w:val="0"/>
          <w:sz w:val="32"/>
          <w:szCs w:val="32"/>
        </w:rPr>
        <w:t>全区</w:t>
      </w:r>
      <w:r>
        <w:rPr>
          <w:rFonts w:ascii="华文仿宋" w:eastAsia="华文仿宋" w:hAnsi="华文仿宋"/>
          <w:kern w:val="0"/>
          <w:sz w:val="32"/>
          <w:szCs w:val="32"/>
        </w:rPr>
        <w:t>不正当竞争、商业贿赂等经济违法行为；承担</w:t>
      </w:r>
      <w:r>
        <w:rPr>
          <w:rFonts w:ascii="华文仿宋" w:eastAsia="华文仿宋" w:hAnsi="华文仿宋" w:hint="eastAsia"/>
          <w:kern w:val="0"/>
          <w:sz w:val="32"/>
          <w:szCs w:val="32"/>
        </w:rPr>
        <w:t>依法查处</w:t>
      </w:r>
      <w:r>
        <w:rPr>
          <w:rFonts w:ascii="华文仿宋" w:eastAsia="华文仿宋" w:hAnsi="华文仿宋"/>
          <w:kern w:val="0"/>
          <w:sz w:val="32"/>
          <w:szCs w:val="32"/>
        </w:rPr>
        <w:t>违法直销和传销案件的责任，依法</w:t>
      </w:r>
      <w:r>
        <w:rPr>
          <w:rFonts w:ascii="华文仿宋" w:eastAsia="华文仿宋" w:hAnsi="华文仿宋" w:hint="eastAsia"/>
          <w:kern w:val="0"/>
          <w:sz w:val="32"/>
          <w:szCs w:val="32"/>
        </w:rPr>
        <w:t>依规</w:t>
      </w:r>
      <w:r>
        <w:rPr>
          <w:rFonts w:ascii="华文仿宋" w:eastAsia="华文仿宋" w:hAnsi="华文仿宋"/>
          <w:kern w:val="0"/>
          <w:sz w:val="32"/>
          <w:szCs w:val="32"/>
        </w:rPr>
        <w:t>监督管理直销企业、直销员及其直销活动</w:t>
      </w:r>
      <w:r>
        <w:rPr>
          <w:rFonts w:ascii="华文仿宋" w:eastAsia="华文仿宋" w:hAnsi="华文仿宋" w:hint="eastAsia"/>
          <w:kern w:val="0"/>
          <w:sz w:val="32"/>
          <w:szCs w:val="32"/>
        </w:rPr>
        <w:t>；对市场主体准入、生产、经营、</w:t>
      </w:r>
      <w:r>
        <w:rPr>
          <w:rFonts w:ascii="华文仿宋" w:eastAsia="华文仿宋" w:hAnsi="华文仿宋" w:hint="eastAsia"/>
          <w:kern w:val="0"/>
          <w:sz w:val="32"/>
          <w:szCs w:val="32"/>
        </w:rPr>
        <w:lastRenderedPageBreak/>
        <w:t>交易中的有关违法行为进行查处，规范市场监管行政执法行为。</w:t>
      </w:r>
    </w:p>
    <w:p w14:paraId="1CB4B8AB"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（五）负责监督管理市场秩序。依法监督管理市场交易、网络商品交易及有关服务行为；依法依规负责服务领域的消费维权工作；</w:t>
      </w:r>
      <w:r>
        <w:rPr>
          <w:rFonts w:ascii="华文仿宋" w:eastAsia="华文仿宋" w:hAnsi="华文仿宋"/>
          <w:kern w:val="0"/>
          <w:sz w:val="32"/>
          <w:szCs w:val="32"/>
        </w:rPr>
        <w:t>依法实施合同监督管理；负责动产抵押登记；负责依法查处合同欺诈等违法行为</w:t>
      </w:r>
      <w:r>
        <w:rPr>
          <w:rFonts w:ascii="华文仿宋" w:eastAsia="华文仿宋" w:hAnsi="华文仿宋" w:hint="eastAsia"/>
          <w:kern w:val="0"/>
          <w:sz w:val="32"/>
          <w:szCs w:val="32"/>
        </w:rPr>
        <w:t>；</w:t>
      </w:r>
      <w:r>
        <w:rPr>
          <w:rFonts w:ascii="华文仿宋" w:eastAsia="华文仿宋" w:hAnsi="华文仿宋"/>
          <w:kern w:val="0"/>
          <w:sz w:val="32"/>
          <w:szCs w:val="32"/>
        </w:rPr>
        <w:t>组织实施商标战略和</w:t>
      </w:r>
      <w:r>
        <w:rPr>
          <w:rFonts w:ascii="华文仿宋" w:eastAsia="华文仿宋" w:hAnsi="华文仿宋" w:hint="eastAsia"/>
          <w:kern w:val="0"/>
          <w:sz w:val="32"/>
          <w:szCs w:val="32"/>
        </w:rPr>
        <w:t>品</w:t>
      </w:r>
      <w:r>
        <w:rPr>
          <w:rFonts w:ascii="华文仿宋" w:eastAsia="华文仿宋" w:hAnsi="华文仿宋"/>
          <w:kern w:val="0"/>
          <w:sz w:val="32"/>
          <w:szCs w:val="32"/>
        </w:rPr>
        <w:t>牌战略</w:t>
      </w:r>
      <w:r>
        <w:rPr>
          <w:rFonts w:ascii="华文仿宋" w:eastAsia="华文仿宋" w:hAnsi="华文仿宋" w:hint="eastAsia"/>
          <w:kern w:val="0"/>
          <w:sz w:val="32"/>
          <w:szCs w:val="32"/>
        </w:rPr>
        <w:t>；按照相关法律法规，在职权范畴内负责广告监督管理工作，</w:t>
      </w:r>
      <w:r>
        <w:rPr>
          <w:rFonts w:ascii="华文仿宋" w:eastAsia="华文仿宋" w:hAnsi="华文仿宋"/>
          <w:kern w:val="0"/>
          <w:sz w:val="32"/>
          <w:szCs w:val="32"/>
        </w:rPr>
        <w:t>指导广告业</w:t>
      </w:r>
      <w:r>
        <w:rPr>
          <w:rFonts w:ascii="华文仿宋" w:eastAsia="华文仿宋" w:hAnsi="华文仿宋" w:hint="eastAsia"/>
          <w:kern w:val="0"/>
          <w:sz w:val="32"/>
          <w:szCs w:val="32"/>
        </w:rPr>
        <w:t>健康</w:t>
      </w:r>
      <w:r>
        <w:rPr>
          <w:rFonts w:ascii="华文仿宋" w:eastAsia="华文仿宋" w:hAnsi="华文仿宋"/>
          <w:kern w:val="0"/>
          <w:sz w:val="32"/>
          <w:szCs w:val="32"/>
        </w:rPr>
        <w:t>发展</w:t>
      </w:r>
      <w:r>
        <w:rPr>
          <w:rFonts w:ascii="华文仿宋" w:eastAsia="华文仿宋" w:hAnsi="华文仿宋" w:hint="eastAsia"/>
          <w:kern w:val="0"/>
          <w:sz w:val="32"/>
          <w:szCs w:val="32"/>
        </w:rPr>
        <w:t>。</w:t>
      </w:r>
    </w:p>
    <w:p w14:paraId="5C1D2CA5"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（六）推进辖区知识产权工作开展。负责全区知识产权监督管理和保护运用；建设完善知识产权保护体系、公共服务体系、指导商标专利执法，保护知识产权，促进知识产权创造和运用。</w:t>
      </w:r>
    </w:p>
    <w:p w14:paraId="66469C71"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（七）</w:t>
      </w:r>
      <w:r>
        <w:rPr>
          <w:rFonts w:ascii="华文仿宋" w:eastAsia="华文仿宋" w:hAnsi="华文仿宋"/>
          <w:kern w:val="0"/>
          <w:sz w:val="32"/>
          <w:szCs w:val="32"/>
        </w:rPr>
        <w:t>依法管理和指导质量工作。负责</w:t>
      </w:r>
      <w:r>
        <w:rPr>
          <w:rFonts w:ascii="华文仿宋" w:eastAsia="华文仿宋" w:hAnsi="华文仿宋" w:hint="eastAsia"/>
          <w:kern w:val="0"/>
          <w:sz w:val="32"/>
          <w:szCs w:val="32"/>
        </w:rPr>
        <w:t>生产领域、流通领域</w:t>
      </w:r>
      <w:r>
        <w:rPr>
          <w:rFonts w:ascii="华文仿宋" w:eastAsia="华文仿宋" w:hAnsi="华文仿宋"/>
          <w:kern w:val="0"/>
          <w:sz w:val="32"/>
          <w:szCs w:val="32"/>
        </w:rPr>
        <w:t>产(商)品质量</w:t>
      </w:r>
      <w:r>
        <w:rPr>
          <w:rFonts w:ascii="华文仿宋" w:eastAsia="华文仿宋" w:hAnsi="华文仿宋" w:hint="eastAsia"/>
          <w:kern w:val="0"/>
          <w:sz w:val="32"/>
          <w:szCs w:val="32"/>
        </w:rPr>
        <w:t>监督</w:t>
      </w:r>
      <w:r>
        <w:rPr>
          <w:rFonts w:ascii="华文仿宋" w:eastAsia="华文仿宋" w:hAnsi="华文仿宋"/>
          <w:kern w:val="0"/>
          <w:sz w:val="32"/>
          <w:szCs w:val="32"/>
        </w:rPr>
        <w:t>管理</w:t>
      </w:r>
      <w:r>
        <w:rPr>
          <w:rFonts w:ascii="华文仿宋" w:eastAsia="华文仿宋" w:hAnsi="华文仿宋" w:hint="eastAsia"/>
          <w:kern w:val="0"/>
          <w:sz w:val="32"/>
          <w:szCs w:val="32"/>
        </w:rPr>
        <w:t>工作</w:t>
      </w:r>
      <w:r>
        <w:rPr>
          <w:rFonts w:ascii="华文仿宋" w:eastAsia="华文仿宋" w:hAnsi="华文仿宋"/>
          <w:kern w:val="0"/>
          <w:sz w:val="32"/>
          <w:szCs w:val="32"/>
        </w:rPr>
        <w:t>；</w:t>
      </w:r>
      <w:r>
        <w:rPr>
          <w:rFonts w:ascii="华文仿宋" w:eastAsia="华文仿宋" w:hAnsi="华文仿宋" w:hint="eastAsia"/>
          <w:kern w:val="0"/>
          <w:sz w:val="32"/>
          <w:szCs w:val="32"/>
        </w:rPr>
        <w:t>承担产品质量诚信体系建设工作；负责全区质量宏观管理、质量振兴、名牌发展战略工作；</w:t>
      </w:r>
      <w:r>
        <w:rPr>
          <w:rFonts w:ascii="华文仿宋" w:eastAsia="华文仿宋" w:hAnsi="华文仿宋"/>
          <w:kern w:val="0"/>
          <w:sz w:val="32"/>
          <w:szCs w:val="32"/>
        </w:rPr>
        <w:t>负责工业产品生产许可证后续监管；组织产(商)品质量预警、监测工作；</w:t>
      </w:r>
      <w:r>
        <w:rPr>
          <w:rFonts w:ascii="华文仿宋" w:eastAsia="华文仿宋" w:hAnsi="华文仿宋" w:hint="eastAsia"/>
          <w:kern w:val="0"/>
          <w:sz w:val="32"/>
          <w:szCs w:val="32"/>
        </w:rPr>
        <w:t>组织实施产品质量安全风险监控和监督抽查工作；组织实施质量分级制度、质量安全追溯制度；</w:t>
      </w:r>
      <w:r>
        <w:rPr>
          <w:rFonts w:ascii="华文仿宋" w:eastAsia="华文仿宋" w:hAnsi="华文仿宋"/>
          <w:kern w:val="0"/>
          <w:sz w:val="32"/>
          <w:szCs w:val="32"/>
        </w:rPr>
        <w:t>依法组织协调产(商)品质量事故的调查处理；组织开展缺陷产(商)品召回。</w:t>
      </w:r>
    </w:p>
    <w:p w14:paraId="3DEC8779"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（八）</w:t>
      </w:r>
      <w:r>
        <w:rPr>
          <w:rFonts w:ascii="华文仿宋" w:eastAsia="华文仿宋" w:hAnsi="华文仿宋"/>
          <w:kern w:val="0"/>
          <w:sz w:val="32"/>
          <w:szCs w:val="32"/>
        </w:rPr>
        <w:t>负责特种设备的安全监察</w:t>
      </w:r>
      <w:r>
        <w:rPr>
          <w:rFonts w:ascii="华文仿宋" w:eastAsia="华文仿宋" w:hAnsi="华文仿宋" w:hint="eastAsia"/>
          <w:kern w:val="0"/>
          <w:sz w:val="32"/>
          <w:szCs w:val="32"/>
        </w:rPr>
        <w:t>监督</w:t>
      </w:r>
      <w:r>
        <w:rPr>
          <w:rFonts w:ascii="华文仿宋" w:eastAsia="华文仿宋" w:hAnsi="华文仿宋"/>
          <w:kern w:val="0"/>
          <w:sz w:val="32"/>
          <w:szCs w:val="32"/>
        </w:rPr>
        <w:t>工作</w:t>
      </w:r>
      <w:r>
        <w:rPr>
          <w:rFonts w:ascii="华文仿宋" w:eastAsia="华文仿宋" w:hAnsi="华文仿宋" w:hint="eastAsia"/>
          <w:kern w:val="0"/>
          <w:sz w:val="32"/>
          <w:szCs w:val="32"/>
        </w:rPr>
        <w:t>。</w:t>
      </w:r>
      <w:r>
        <w:rPr>
          <w:rFonts w:ascii="华文仿宋" w:eastAsia="华文仿宋" w:hAnsi="华文仿宋"/>
          <w:kern w:val="0"/>
          <w:sz w:val="32"/>
          <w:szCs w:val="32"/>
        </w:rPr>
        <w:t>依法</w:t>
      </w:r>
      <w:r>
        <w:rPr>
          <w:rFonts w:ascii="华文仿宋" w:eastAsia="华文仿宋" w:hAnsi="华文仿宋" w:hint="eastAsia"/>
          <w:kern w:val="0"/>
          <w:sz w:val="32"/>
          <w:szCs w:val="32"/>
        </w:rPr>
        <w:t>承担</w:t>
      </w:r>
      <w:r>
        <w:rPr>
          <w:rFonts w:ascii="华文仿宋" w:eastAsia="华文仿宋" w:hAnsi="华文仿宋"/>
          <w:kern w:val="0"/>
          <w:sz w:val="32"/>
          <w:szCs w:val="32"/>
        </w:rPr>
        <w:t>特种设备生产</w:t>
      </w:r>
      <w:r>
        <w:rPr>
          <w:rFonts w:ascii="华文仿宋" w:eastAsia="华文仿宋" w:hAnsi="华文仿宋" w:hint="eastAsia"/>
          <w:kern w:val="0"/>
          <w:sz w:val="32"/>
          <w:szCs w:val="32"/>
        </w:rPr>
        <w:t>（</w:t>
      </w:r>
      <w:r>
        <w:rPr>
          <w:rFonts w:ascii="华文仿宋" w:eastAsia="华文仿宋" w:hAnsi="华文仿宋"/>
          <w:kern w:val="0"/>
          <w:sz w:val="32"/>
          <w:szCs w:val="32"/>
        </w:rPr>
        <w:t>设计、制造、安装、改造、维修</w:t>
      </w:r>
      <w:r>
        <w:rPr>
          <w:rFonts w:ascii="华文仿宋" w:eastAsia="华文仿宋" w:hAnsi="华文仿宋" w:hint="eastAsia"/>
          <w:kern w:val="0"/>
          <w:sz w:val="32"/>
          <w:szCs w:val="32"/>
        </w:rPr>
        <w:t>）</w:t>
      </w:r>
      <w:r>
        <w:rPr>
          <w:rFonts w:ascii="华文仿宋" w:eastAsia="华文仿宋" w:hAnsi="华文仿宋"/>
          <w:kern w:val="0"/>
          <w:sz w:val="32"/>
          <w:szCs w:val="32"/>
        </w:rPr>
        <w:t>、经营、使用、检验、检测等环节监督检查</w:t>
      </w:r>
      <w:r>
        <w:rPr>
          <w:rFonts w:ascii="华文仿宋" w:eastAsia="华文仿宋" w:hAnsi="华文仿宋" w:hint="eastAsia"/>
          <w:kern w:val="0"/>
          <w:sz w:val="32"/>
          <w:szCs w:val="32"/>
        </w:rPr>
        <w:t>工作</w:t>
      </w:r>
      <w:r>
        <w:rPr>
          <w:rFonts w:ascii="华文仿宋" w:eastAsia="华文仿宋" w:hAnsi="华文仿宋"/>
          <w:kern w:val="0"/>
          <w:sz w:val="32"/>
          <w:szCs w:val="32"/>
        </w:rPr>
        <w:t>；按规定报告特种设备事故，配合特种设备事故的调查处理；监督检查高耗能特种设备节能标准的执行情况</w:t>
      </w:r>
      <w:r>
        <w:rPr>
          <w:rFonts w:ascii="华文仿宋" w:eastAsia="华文仿宋" w:hAnsi="华文仿宋" w:hint="eastAsia"/>
          <w:kern w:val="0"/>
          <w:sz w:val="32"/>
          <w:szCs w:val="32"/>
        </w:rPr>
        <w:t>。</w:t>
      </w:r>
    </w:p>
    <w:p w14:paraId="3616006E"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lastRenderedPageBreak/>
        <w:t>（九）</w:t>
      </w:r>
      <w:r>
        <w:rPr>
          <w:rFonts w:ascii="华文仿宋" w:eastAsia="华文仿宋" w:hAnsi="华文仿宋"/>
          <w:kern w:val="0"/>
          <w:sz w:val="32"/>
          <w:szCs w:val="32"/>
        </w:rPr>
        <w:t>负责管理</w:t>
      </w:r>
      <w:r>
        <w:rPr>
          <w:rFonts w:ascii="华文仿宋" w:eastAsia="华文仿宋" w:hAnsi="华文仿宋" w:hint="eastAsia"/>
          <w:kern w:val="0"/>
          <w:sz w:val="32"/>
          <w:szCs w:val="32"/>
        </w:rPr>
        <w:t>全区</w:t>
      </w:r>
      <w:r>
        <w:rPr>
          <w:rFonts w:ascii="华文仿宋" w:eastAsia="华文仿宋" w:hAnsi="华文仿宋"/>
          <w:kern w:val="0"/>
          <w:sz w:val="32"/>
          <w:szCs w:val="32"/>
        </w:rPr>
        <w:t>标准化工作。负责宣传贯彻国家标准、行业标准</w:t>
      </w:r>
      <w:r>
        <w:rPr>
          <w:rFonts w:ascii="华文仿宋" w:eastAsia="华文仿宋" w:hAnsi="华文仿宋" w:hint="eastAsia"/>
          <w:kern w:val="0"/>
          <w:sz w:val="32"/>
          <w:szCs w:val="32"/>
        </w:rPr>
        <w:t>、</w:t>
      </w:r>
      <w:r>
        <w:rPr>
          <w:rFonts w:ascii="华文仿宋" w:eastAsia="华文仿宋" w:hAnsi="华文仿宋"/>
          <w:kern w:val="0"/>
          <w:sz w:val="32"/>
          <w:szCs w:val="32"/>
        </w:rPr>
        <w:t>地方标准</w:t>
      </w:r>
      <w:r>
        <w:rPr>
          <w:rFonts w:ascii="华文仿宋" w:eastAsia="华文仿宋" w:hAnsi="华文仿宋" w:hint="eastAsia"/>
          <w:kern w:val="0"/>
          <w:sz w:val="32"/>
          <w:szCs w:val="32"/>
        </w:rPr>
        <w:t>、团体标准和企业标准，</w:t>
      </w:r>
      <w:r>
        <w:rPr>
          <w:rFonts w:ascii="华文仿宋" w:eastAsia="华文仿宋" w:hAnsi="华文仿宋"/>
          <w:kern w:val="0"/>
          <w:sz w:val="32"/>
          <w:szCs w:val="32"/>
        </w:rPr>
        <w:t>对标准的实施进行监督检查；组织</w:t>
      </w:r>
      <w:r>
        <w:rPr>
          <w:rFonts w:ascii="华文仿宋" w:eastAsia="华文仿宋" w:hAnsi="华文仿宋" w:hint="eastAsia"/>
          <w:kern w:val="0"/>
          <w:sz w:val="32"/>
          <w:szCs w:val="32"/>
        </w:rPr>
        <w:t>制定、实施区级</w:t>
      </w:r>
      <w:r>
        <w:rPr>
          <w:rFonts w:ascii="华文仿宋" w:eastAsia="华文仿宋" w:hAnsi="华文仿宋"/>
          <w:kern w:val="0"/>
          <w:sz w:val="32"/>
          <w:szCs w:val="32"/>
        </w:rPr>
        <w:t>推荐性地方标准</w:t>
      </w:r>
      <w:r>
        <w:rPr>
          <w:rFonts w:ascii="华文仿宋" w:eastAsia="华文仿宋" w:hAnsi="华文仿宋" w:hint="eastAsia"/>
          <w:kern w:val="0"/>
          <w:sz w:val="32"/>
          <w:szCs w:val="32"/>
        </w:rPr>
        <w:t>；负责区级</w:t>
      </w:r>
      <w:r>
        <w:rPr>
          <w:rFonts w:ascii="华文仿宋" w:eastAsia="华文仿宋" w:hAnsi="华文仿宋"/>
          <w:kern w:val="0"/>
          <w:sz w:val="32"/>
          <w:szCs w:val="32"/>
        </w:rPr>
        <w:t>工业企业标准备案；</w:t>
      </w:r>
      <w:r>
        <w:rPr>
          <w:rFonts w:ascii="华文仿宋" w:eastAsia="华文仿宋" w:hAnsi="华文仿宋" w:hint="eastAsia"/>
          <w:kern w:val="0"/>
          <w:sz w:val="32"/>
          <w:szCs w:val="32"/>
        </w:rPr>
        <w:t>推进</w:t>
      </w:r>
      <w:r>
        <w:rPr>
          <w:rFonts w:ascii="华文仿宋" w:eastAsia="华文仿宋" w:hAnsi="华文仿宋"/>
          <w:kern w:val="0"/>
          <w:sz w:val="32"/>
          <w:szCs w:val="32"/>
        </w:rPr>
        <w:t>采用国际标准、国外先进标准</w:t>
      </w:r>
      <w:r>
        <w:rPr>
          <w:rFonts w:ascii="华文仿宋" w:eastAsia="华文仿宋" w:hAnsi="华文仿宋" w:hint="eastAsia"/>
          <w:kern w:val="0"/>
          <w:sz w:val="32"/>
          <w:szCs w:val="32"/>
        </w:rPr>
        <w:t>工作；负责</w:t>
      </w:r>
      <w:r>
        <w:rPr>
          <w:rFonts w:ascii="华文仿宋" w:eastAsia="华文仿宋" w:hAnsi="华文仿宋"/>
          <w:kern w:val="0"/>
          <w:sz w:val="32"/>
          <w:szCs w:val="32"/>
        </w:rPr>
        <w:t>地理标志产品保护工作。</w:t>
      </w:r>
    </w:p>
    <w:p w14:paraId="051B3CC7"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w:t>
      </w:r>
      <w:r>
        <w:rPr>
          <w:rFonts w:ascii="华文仿宋" w:eastAsia="华文仿宋" w:hAnsi="华文仿宋"/>
          <w:kern w:val="0"/>
          <w:sz w:val="32"/>
          <w:szCs w:val="32"/>
        </w:rPr>
        <w:t>负责管理计量工作。推行法定计量单位，执行国家计量制度；依法管理计量器具</w:t>
      </w:r>
      <w:r>
        <w:rPr>
          <w:rFonts w:ascii="华文仿宋" w:eastAsia="华文仿宋" w:hAnsi="华文仿宋" w:hint="eastAsia"/>
          <w:kern w:val="0"/>
          <w:sz w:val="32"/>
          <w:szCs w:val="32"/>
        </w:rPr>
        <w:t>；</w:t>
      </w:r>
      <w:r>
        <w:rPr>
          <w:rFonts w:ascii="华文仿宋" w:eastAsia="华文仿宋" w:hAnsi="华文仿宋"/>
          <w:kern w:val="0"/>
          <w:sz w:val="32"/>
          <w:szCs w:val="32"/>
        </w:rPr>
        <w:t>规范和监</w:t>
      </w:r>
      <w:r>
        <w:rPr>
          <w:rFonts w:ascii="华文仿宋" w:eastAsia="华文仿宋" w:hAnsi="华文仿宋"/>
          <w:color w:val="000000"/>
          <w:kern w:val="0"/>
          <w:sz w:val="32"/>
          <w:szCs w:val="32"/>
        </w:rPr>
        <w:t>督商品量</w:t>
      </w:r>
      <w:r>
        <w:rPr>
          <w:rFonts w:ascii="华文仿宋" w:eastAsia="华文仿宋" w:hAnsi="华文仿宋"/>
          <w:kern w:val="0"/>
          <w:sz w:val="32"/>
          <w:szCs w:val="32"/>
        </w:rPr>
        <w:t>、市场计量行为</w:t>
      </w:r>
      <w:r>
        <w:rPr>
          <w:rFonts w:ascii="华文仿宋" w:eastAsia="华文仿宋" w:hAnsi="华文仿宋" w:hint="eastAsia"/>
          <w:kern w:val="0"/>
          <w:sz w:val="32"/>
          <w:szCs w:val="32"/>
        </w:rPr>
        <w:t>；依法依规进行</w:t>
      </w:r>
      <w:r>
        <w:rPr>
          <w:rFonts w:ascii="华文仿宋" w:eastAsia="华文仿宋" w:hAnsi="华文仿宋"/>
          <w:kern w:val="0"/>
          <w:sz w:val="32"/>
          <w:szCs w:val="32"/>
        </w:rPr>
        <w:t>计量</w:t>
      </w:r>
      <w:r>
        <w:rPr>
          <w:rFonts w:ascii="华文仿宋" w:eastAsia="华文仿宋" w:hAnsi="华文仿宋"/>
          <w:color w:val="000000"/>
          <w:kern w:val="0"/>
          <w:sz w:val="32"/>
          <w:szCs w:val="32"/>
        </w:rPr>
        <w:t>仲裁检定</w:t>
      </w:r>
      <w:r>
        <w:rPr>
          <w:rFonts w:ascii="华文仿宋" w:eastAsia="华文仿宋" w:hAnsi="华文仿宋"/>
          <w:kern w:val="0"/>
          <w:sz w:val="32"/>
          <w:szCs w:val="32"/>
        </w:rPr>
        <w:t>。</w:t>
      </w:r>
    </w:p>
    <w:p w14:paraId="00F75658"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（十一）负责统一管理全区检验检测工作。拟订全区检验检测工作制度并组织实施；规范检验检测市场；指导协调检验检测行业发展；</w:t>
      </w:r>
      <w:r>
        <w:rPr>
          <w:rFonts w:ascii="华文仿宋" w:eastAsia="华文仿宋" w:hAnsi="华文仿宋"/>
          <w:kern w:val="0"/>
          <w:sz w:val="32"/>
          <w:szCs w:val="32"/>
        </w:rPr>
        <w:t>依法负责检验检测机构及其检验检测服务活动的监督管理工作</w:t>
      </w:r>
      <w:r>
        <w:rPr>
          <w:rFonts w:ascii="华文仿宋" w:eastAsia="华文仿宋" w:hAnsi="华文仿宋" w:hint="eastAsia"/>
          <w:kern w:val="0"/>
          <w:sz w:val="32"/>
          <w:szCs w:val="32"/>
        </w:rPr>
        <w:t>。</w:t>
      </w:r>
    </w:p>
    <w:p w14:paraId="2BB81C5A"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（十二）</w:t>
      </w:r>
      <w:r>
        <w:rPr>
          <w:rFonts w:ascii="华文仿宋" w:eastAsia="华文仿宋" w:hAnsi="华文仿宋"/>
          <w:kern w:val="0"/>
          <w:sz w:val="32"/>
          <w:szCs w:val="32"/>
        </w:rPr>
        <w:t>统一管理认证认可工作。依法负责检验检测机构的监督管理工作；</w:t>
      </w:r>
      <w:r>
        <w:rPr>
          <w:rFonts w:ascii="华文仿宋" w:eastAsia="华文仿宋" w:hAnsi="华文仿宋" w:hint="eastAsia"/>
          <w:kern w:val="0"/>
          <w:sz w:val="32"/>
          <w:szCs w:val="32"/>
        </w:rPr>
        <w:t>依法负责全区“3C”企业的监督管理工作；依法依规对获质量认证、环境认证和职业健康认证企业</w:t>
      </w:r>
      <w:proofErr w:type="gramStart"/>
      <w:r>
        <w:rPr>
          <w:rFonts w:ascii="华文仿宋" w:eastAsia="华文仿宋" w:hAnsi="华文仿宋" w:hint="eastAsia"/>
          <w:kern w:val="0"/>
          <w:sz w:val="32"/>
          <w:szCs w:val="32"/>
        </w:rPr>
        <w:t>进行证</w:t>
      </w:r>
      <w:proofErr w:type="gramEnd"/>
      <w:r>
        <w:rPr>
          <w:rFonts w:ascii="华文仿宋" w:eastAsia="华文仿宋" w:hAnsi="华文仿宋" w:hint="eastAsia"/>
          <w:kern w:val="0"/>
          <w:sz w:val="32"/>
          <w:szCs w:val="32"/>
        </w:rPr>
        <w:t>后监管。</w:t>
      </w:r>
    </w:p>
    <w:p w14:paraId="51246CE1"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（十三）负责全区食品安全监督管理综合协调。组织拟订全区食品安全政策措施并组织实施；</w:t>
      </w:r>
      <w:r>
        <w:rPr>
          <w:rFonts w:ascii="华文仿宋" w:eastAsia="华文仿宋" w:hAnsi="华文仿宋"/>
          <w:kern w:val="0"/>
          <w:sz w:val="32"/>
          <w:szCs w:val="32"/>
        </w:rPr>
        <w:t>负责</w:t>
      </w:r>
      <w:r>
        <w:rPr>
          <w:rFonts w:ascii="华文仿宋" w:eastAsia="华文仿宋" w:hAnsi="华文仿宋" w:hint="eastAsia"/>
          <w:kern w:val="0"/>
          <w:sz w:val="32"/>
          <w:szCs w:val="32"/>
        </w:rPr>
        <w:t>全</w:t>
      </w:r>
      <w:r>
        <w:rPr>
          <w:rFonts w:ascii="华文仿宋" w:eastAsia="华文仿宋" w:hAnsi="华文仿宋"/>
          <w:kern w:val="0"/>
          <w:sz w:val="32"/>
          <w:szCs w:val="32"/>
        </w:rPr>
        <w:t>区食品安全综合协调和</w:t>
      </w:r>
      <w:r>
        <w:rPr>
          <w:rFonts w:ascii="华文仿宋" w:eastAsia="华文仿宋" w:hAnsi="华文仿宋" w:hint="eastAsia"/>
          <w:color w:val="000000"/>
          <w:kern w:val="0"/>
          <w:sz w:val="32"/>
          <w:szCs w:val="32"/>
        </w:rPr>
        <w:t>区食品安全委员会</w:t>
      </w:r>
      <w:r>
        <w:rPr>
          <w:rFonts w:ascii="华文仿宋" w:eastAsia="华文仿宋" w:hAnsi="华文仿宋"/>
          <w:color w:val="000000"/>
          <w:kern w:val="0"/>
          <w:sz w:val="32"/>
          <w:szCs w:val="32"/>
        </w:rPr>
        <w:t>各</w:t>
      </w:r>
      <w:r>
        <w:rPr>
          <w:rFonts w:ascii="华文仿宋" w:eastAsia="华文仿宋" w:hAnsi="华文仿宋"/>
          <w:kern w:val="0"/>
          <w:sz w:val="32"/>
          <w:szCs w:val="32"/>
        </w:rPr>
        <w:t>成员单位间的联络工作</w:t>
      </w:r>
      <w:r>
        <w:rPr>
          <w:rFonts w:ascii="华文仿宋" w:eastAsia="华文仿宋" w:hAnsi="华文仿宋" w:hint="eastAsia"/>
          <w:kern w:val="0"/>
          <w:sz w:val="32"/>
          <w:szCs w:val="32"/>
        </w:rPr>
        <w:t>；负责食品安全应急体系建设；组织指导重大食品安全事件应急处置和调查处理工作；建立健全食品安全重要信息直报制度。</w:t>
      </w:r>
    </w:p>
    <w:p w14:paraId="7D71E451"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（十四）负责全区</w:t>
      </w:r>
      <w:r>
        <w:rPr>
          <w:rFonts w:ascii="华文仿宋" w:eastAsia="华文仿宋" w:hAnsi="华文仿宋"/>
          <w:kern w:val="0"/>
          <w:sz w:val="32"/>
          <w:szCs w:val="32"/>
        </w:rPr>
        <w:t>食品安全监督管理工作。研究制定食品安全规划并组织实施；负责食品</w:t>
      </w:r>
      <w:r>
        <w:rPr>
          <w:rFonts w:ascii="华文仿宋" w:eastAsia="华文仿宋" w:hAnsi="华文仿宋" w:hint="eastAsia"/>
          <w:kern w:val="0"/>
          <w:sz w:val="32"/>
          <w:szCs w:val="32"/>
        </w:rPr>
        <w:t>从生产领域到流通领域的各项</w:t>
      </w:r>
      <w:r>
        <w:rPr>
          <w:rFonts w:ascii="华文仿宋" w:eastAsia="华文仿宋" w:hAnsi="华文仿宋"/>
          <w:kern w:val="0"/>
          <w:sz w:val="32"/>
          <w:szCs w:val="32"/>
        </w:rPr>
        <w:t>安全监督管理和综合协调工作，查处食品违法行为，监督实施问题食品召回和处置工作；</w:t>
      </w:r>
      <w:r>
        <w:rPr>
          <w:rFonts w:ascii="华文仿宋" w:eastAsia="华文仿宋" w:hAnsi="华文仿宋" w:hint="eastAsia"/>
          <w:kern w:val="0"/>
          <w:sz w:val="32"/>
          <w:szCs w:val="32"/>
        </w:rPr>
        <w:t>推动建立食品生产经营者</w:t>
      </w:r>
      <w:r>
        <w:rPr>
          <w:rFonts w:ascii="华文仿宋" w:eastAsia="华文仿宋" w:hAnsi="华文仿宋" w:hint="eastAsia"/>
          <w:kern w:val="0"/>
          <w:sz w:val="32"/>
          <w:szCs w:val="32"/>
        </w:rPr>
        <w:lastRenderedPageBreak/>
        <w:t>落实主体责任的机制，指导企业建立健全食品安全追溯体系；组织开展食品及相关产品安全监督抽检、风险监测、核查处置；</w:t>
      </w:r>
      <w:r>
        <w:rPr>
          <w:rFonts w:ascii="华文仿宋" w:eastAsia="华文仿宋" w:hAnsi="华文仿宋"/>
          <w:kern w:val="0"/>
          <w:sz w:val="32"/>
          <w:szCs w:val="32"/>
        </w:rPr>
        <w:t>负责食品安全应急体系和隐患排查治理机制建设。</w:t>
      </w:r>
    </w:p>
    <w:p w14:paraId="1550E13A"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（十五）</w:t>
      </w:r>
      <w:r>
        <w:rPr>
          <w:rFonts w:ascii="华文仿宋" w:eastAsia="华文仿宋" w:hAnsi="华文仿宋"/>
          <w:kern w:val="0"/>
          <w:sz w:val="32"/>
          <w:szCs w:val="32"/>
        </w:rPr>
        <w:t>餐饮服务</w:t>
      </w:r>
      <w:r>
        <w:rPr>
          <w:rFonts w:ascii="华文仿宋" w:eastAsia="华文仿宋" w:hAnsi="华文仿宋" w:hint="eastAsia"/>
          <w:kern w:val="0"/>
          <w:sz w:val="32"/>
          <w:szCs w:val="32"/>
        </w:rPr>
        <w:t>监督管理工作</w:t>
      </w:r>
      <w:r>
        <w:rPr>
          <w:rFonts w:ascii="华文仿宋" w:eastAsia="华文仿宋" w:hAnsi="华文仿宋"/>
          <w:kern w:val="0"/>
          <w:sz w:val="32"/>
          <w:szCs w:val="32"/>
        </w:rPr>
        <w:t>。制定餐饮服务食品安全管理的制度、计划和措施并监督实施；开展餐饮服务食品安全监测与评价、风险预警与应急处置工作；开展餐饮服务食品安全事故的调查与处理；组织实施餐饮服务食品安全量化分级管理制度；承担重大活动餐饮服务食品安全保障；监督抽检餐饮服务食品安全并发布日常监督管理信息；组织、指导餐饮服务环节食品安全违法行为查处</w:t>
      </w:r>
      <w:r>
        <w:rPr>
          <w:rFonts w:ascii="华文仿宋" w:eastAsia="华文仿宋" w:hAnsi="华文仿宋" w:hint="eastAsia"/>
          <w:kern w:val="0"/>
          <w:sz w:val="32"/>
          <w:szCs w:val="32"/>
        </w:rPr>
        <w:t>。</w:t>
      </w:r>
    </w:p>
    <w:p w14:paraId="5ADD33D4" w14:textId="77777777" w:rsidR="00A046DC" w:rsidRDefault="00000000">
      <w:pPr>
        <w:numPr>
          <w:ilvl w:val="0"/>
          <w:numId w:val="2"/>
        </w:num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负责药品、医疗器械和</w:t>
      </w:r>
      <w:r>
        <w:rPr>
          <w:rFonts w:ascii="华文仿宋" w:eastAsia="华文仿宋" w:hAnsi="华文仿宋"/>
          <w:kern w:val="0"/>
          <w:sz w:val="32"/>
          <w:szCs w:val="32"/>
        </w:rPr>
        <w:t>化妆品</w:t>
      </w:r>
      <w:r>
        <w:rPr>
          <w:rFonts w:ascii="华文仿宋" w:eastAsia="华文仿宋" w:hAnsi="华文仿宋" w:hint="eastAsia"/>
          <w:kern w:val="0"/>
          <w:sz w:val="32"/>
          <w:szCs w:val="32"/>
        </w:rPr>
        <w:t>经营和使用环节监督检查。</w:t>
      </w:r>
      <w:r>
        <w:rPr>
          <w:rFonts w:ascii="华文仿宋" w:eastAsia="华文仿宋" w:hAnsi="华文仿宋"/>
          <w:kern w:val="0"/>
          <w:sz w:val="32"/>
          <w:szCs w:val="32"/>
        </w:rPr>
        <w:t>负责药品</w:t>
      </w:r>
      <w:r>
        <w:rPr>
          <w:rFonts w:ascii="华文仿宋" w:eastAsia="华文仿宋" w:hAnsi="华文仿宋" w:hint="eastAsia"/>
          <w:kern w:val="0"/>
          <w:sz w:val="32"/>
          <w:szCs w:val="32"/>
        </w:rPr>
        <w:t>、</w:t>
      </w:r>
      <w:r>
        <w:rPr>
          <w:rFonts w:ascii="华文仿宋" w:eastAsia="华文仿宋" w:hAnsi="华文仿宋"/>
          <w:kern w:val="0"/>
          <w:sz w:val="32"/>
          <w:szCs w:val="32"/>
        </w:rPr>
        <w:t>医疗器械</w:t>
      </w:r>
      <w:r>
        <w:rPr>
          <w:rFonts w:ascii="华文仿宋" w:eastAsia="华文仿宋" w:hAnsi="华文仿宋" w:hint="eastAsia"/>
          <w:kern w:val="0"/>
          <w:sz w:val="32"/>
          <w:szCs w:val="32"/>
        </w:rPr>
        <w:t>和化妆品经营和使用环节</w:t>
      </w:r>
      <w:r>
        <w:rPr>
          <w:rFonts w:ascii="华文仿宋" w:eastAsia="华文仿宋" w:hAnsi="华文仿宋"/>
          <w:kern w:val="0"/>
          <w:sz w:val="32"/>
          <w:szCs w:val="32"/>
        </w:rPr>
        <w:t>的</w:t>
      </w:r>
      <w:r>
        <w:rPr>
          <w:rFonts w:ascii="华文仿宋" w:eastAsia="华文仿宋" w:hAnsi="华文仿宋" w:hint="eastAsia"/>
          <w:kern w:val="0"/>
          <w:sz w:val="32"/>
          <w:szCs w:val="32"/>
        </w:rPr>
        <w:t>监督管理工作</w:t>
      </w:r>
      <w:r>
        <w:rPr>
          <w:rFonts w:ascii="华文仿宋" w:eastAsia="华文仿宋" w:hAnsi="华文仿宋"/>
          <w:kern w:val="0"/>
          <w:sz w:val="32"/>
          <w:szCs w:val="32"/>
        </w:rPr>
        <w:t>；负责实施国家药品、医疗器械</w:t>
      </w:r>
      <w:r>
        <w:rPr>
          <w:rFonts w:ascii="华文仿宋" w:eastAsia="华文仿宋" w:hAnsi="华文仿宋" w:hint="eastAsia"/>
          <w:kern w:val="0"/>
          <w:sz w:val="32"/>
          <w:szCs w:val="32"/>
        </w:rPr>
        <w:t>和化妆品</w:t>
      </w:r>
      <w:r>
        <w:rPr>
          <w:rFonts w:ascii="华文仿宋" w:eastAsia="华文仿宋" w:hAnsi="华文仿宋"/>
          <w:kern w:val="0"/>
          <w:sz w:val="32"/>
          <w:szCs w:val="32"/>
        </w:rPr>
        <w:t>标准；负责药品不良反应、医疗器械</w:t>
      </w:r>
      <w:r>
        <w:rPr>
          <w:rFonts w:ascii="华文仿宋" w:eastAsia="华文仿宋" w:hAnsi="华文仿宋" w:hint="eastAsia"/>
          <w:kern w:val="0"/>
          <w:sz w:val="32"/>
          <w:szCs w:val="32"/>
        </w:rPr>
        <w:t>和化妆品</w:t>
      </w:r>
      <w:r>
        <w:rPr>
          <w:rFonts w:ascii="华文仿宋" w:eastAsia="华文仿宋" w:hAnsi="华文仿宋"/>
          <w:kern w:val="0"/>
          <w:sz w:val="32"/>
          <w:szCs w:val="32"/>
        </w:rPr>
        <w:t>不良事件</w:t>
      </w:r>
      <w:r>
        <w:rPr>
          <w:rFonts w:ascii="华文仿宋" w:eastAsia="华文仿宋" w:hAnsi="华文仿宋" w:hint="eastAsia"/>
          <w:kern w:val="0"/>
          <w:sz w:val="32"/>
          <w:szCs w:val="32"/>
        </w:rPr>
        <w:t>监管；</w:t>
      </w:r>
      <w:r>
        <w:rPr>
          <w:rFonts w:ascii="华文仿宋" w:eastAsia="华文仿宋" w:hAnsi="华文仿宋"/>
          <w:kern w:val="0"/>
          <w:sz w:val="32"/>
          <w:szCs w:val="32"/>
        </w:rPr>
        <w:t>负责监督实施问题产品召回和处置工作；负责建立健全药品安全应急体系</w:t>
      </w:r>
      <w:r>
        <w:rPr>
          <w:rFonts w:ascii="华文仿宋" w:eastAsia="华文仿宋" w:hAnsi="华文仿宋" w:hint="eastAsia"/>
          <w:kern w:val="0"/>
          <w:sz w:val="32"/>
          <w:szCs w:val="32"/>
        </w:rPr>
        <w:t>；负责开展全区药品零售、医疗器械经营企业和化妆品经营企业安全宣传、教育培训，推进信用体系建设。</w:t>
      </w:r>
    </w:p>
    <w:p w14:paraId="731A29F9"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（十七）</w:t>
      </w:r>
      <w:r>
        <w:rPr>
          <w:rFonts w:ascii="华文仿宋" w:eastAsia="华文仿宋" w:hAnsi="华文仿宋"/>
          <w:kern w:val="0"/>
          <w:sz w:val="32"/>
          <w:szCs w:val="32"/>
        </w:rPr>
        <w:t>组织开展消费维权工作，查处制售假冒伪劣等违法行为，开展消费者咨询、申诉、投诉、举报、受理与处理</w:t>
      </w:r>
      <w:r>
        <w:rPr>
          <w:rFonts w:ascii="华文仿宋" w:eastAsia="华文仿宋" w:hAnsi="华文仿宋" w:hint="eastAsia"/>
          <w:kern w:val="0"/>
          <w:sz w:val="32"/>
          <w:szCs w:val="32"/>
        </w:rPr>
        <w:t>；指导处理网络商品交易消费纠纷投诉举报；负责消费维权</w:t>
      </w:r>
      <w:r>
        <w:rPr>
          <w:rFonts w:ascii="华文仿宋" w:eastAsia="华文仿宋" w:hAnsi="华文仿宋"/>
          <w:kern w:val="0"/>
          <w:sz w:val="32"/>
          <w:szCs w:val="32"/>
        </w:rPr>
        <w:t>网络体系建设等工作，保护经营者、消费者</w:t>
      </w:r>
      <w:r>
        <w:rPr>
          <w:rFonts w:ascii="华文仿宋" w:eastAsia="华文仿宋" w:hAnsi="华文仿宋" w:hint="eastAsia"/>
          <w:kern w:val="0"/>
          <w:sz w:val="32"/>
          <w:szCs w:val="32"/>
        </w:rPr>
        <w:t>合法</w:t>
      </w:r>
      <w:r>
        <w:rPr>
          <w:rFonts w:ascii="华文仿宋" w:eastAsia="华文仿宋" w:hAnsi="华文仿宋"/>
          <w:kern w:val="0"/>
          <w:sz w:val="32"/>
          <w:szCs w:val="32"/>
        </w:rPr>
        <w:t>权益。</w:t>
      </w:r>
    </w:p>
    <w:p w14:paraId="4DC92D1E"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（十八）负责全区的价格监督检查工作，整顿和规范市场价格秩序，依法对价格违法行为实行行政处罚；制止价格垄断、价格欺诈、牟取暴利、低价倾销等不正当价格行为；受理价格举报，协调价格争议。</w:t>
      </w:r>
    </w:p>
    <w:p w14:paraId="39D4B4E3"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lastRenderedPageBreak/>
        <w:t>（十九）负责促进全区非公经济发展，指导、协调全区市场监督管理系统开展小微企业、个体工商户、专业</w:t>
      </w:r>
      <w:proofErr w:type="gramStart"/>
      <w:r>
        <w:rPr>
          <w:rFonts w:ascii="华文仿宋" w:eastAsia="华文仿宋" w:hAnsi="华文仿宋" w:hint="eastAsia"/>
          <w:kern w:val="0"/>
          <w:sz w:val="32"/>
          <w:szCs w:val="32"/>
        </w:rPr>
        <w:t>市场党建</w:t>
      </w:r>
      <w:proofErr w:type="gramEnd"/>
      <w:r>
        <w:rPr>
          <w:rFonts w:ascii="华文仿宋" w:eastAsia="华文仿宋" w:hAnsi="华文仿宋" w:hint="eastAsia"/>
          <w:kern w:val="0"/>
          <w:sz w:val="32"/>
          <w:szCs w:val="32"/>
        </w:rPr>
        <w:t>工作。</w:t>
      </w:r>
    </w:p>
    <w:p w14:paraId="302C2BE7" w14:textId="77777777" w:rsidR="00A046DC" w:rsidRDefault="00000000">
      <w:pPr>
        <w:spacing w:line="540" w:lineRule="exact"/>
        <w:ind w:firstLineChars="200" w:firstLine="640"/>
        <w:rPr>
          <w:rFonts w:ascii="华文仿宋" w:eastAsia="华文仿宋" w:hAnsi="华文仿宋"/>
          <w:kern w:val="0"/>
          <w:sz w:val="32"/>
          <w:szCs w:val="32"/>
        </w:rPr>
      </w:pPr>
      <w:r>
        <w:rPr>
          <w:rFonts w:ascii="华文仿宋" w:eastAsia="华文仿宋" w:hAnsi="华文仿宋" w:cs="仿宋" w:hint="eastAsia"/>
          <w:sz w:val="32"/>
          <w:szCs w:val="32"/>
        </w:rPr>
        <w:t>（二十）负责指导基层所</w:t>
      </w:r>
      <w:r>
        <w:rPr>
          <w:rFonts w:ascii="华文仿宋" w:eastAsia="华文仿宋" w:hAnsi="华文仿宋" w:hint="eastAsia"/>
          <w:spacing w:val="16"/>
          <w:sz w:val="32"/>
          <w:szCs w:val="32"/>
          <w:lang w:val="zh-CN"/>
        </w:rPr>
        <w:t>（队）</w:t>
      </w:r>
      <w:r>
        <w:rPr>
          <w:rFonts w:ascii="华文仿宋" w:eastAsia="华文仿宋" w:hAnsi="华文仿宋" w:cs="仿宋" w:hint="eastAsia"/>
          <w:sz w:val="32"/>
          <w:szCs w:val="32"/>
        </w:rPr>
        <w:t>的业务工作。</w:t>
      </w:r>
    </w:p>
    <w:p w14:paraId="299D02AE" w14:textId="77777777" w:rsidR="00A046DC" w:rsidRDefault="00000000">
      <w:pPr>
        <w:spacing w:line="570" w:lineRule="exact"/>
        <w:ind w:firstLineChars="200" w:firstLine="640"/>
        <w:rPr>
          <w:rFonts w:ascii="华文仿宋" w:eastAsia="华文仿宋" w:hAnsi="华文仿宋"/>
          <w:sz w:val="32"/>
          <w:szCs w:val="32"/>
        </w:rPr>
      </w:pPr>
      <w:r>
        <w:rPr>
          <w:rFonts w:ascii="华文仿宋" w:eastAsia="华文仿宋" w:hAnsi="华文仿宋"/>
          <w:sz w:val="32"/>
          <w:szCs w:val="32"/>
        </w:rPr>
        <w:t>（</w:t>
      </w:r>
      <w:r>
        <w:rPr>
          <w:rFonts w:ascii="华文仿宋" w:eastAsia="华文仿宋" w:hAnsi="华文仿宋" w:hint="eastAsia"/>
          <w:sz w:val="32"/>
          <w:szCs w:val="32"/>
        </w:rPr>
        <w:t>二十一</w:t>
      </w:r>
      <w:r>
        <w:rPr>
          <w:rFonts w:ascii="华文仿宋" w:eastAsia="华文仿宋" w:hAnsi="华文仿宋"/>
          <w:sz w:val="32"/>
          <w:szCs w:val="32"/>
        </w:rPr>
        <w:t>）负责本部门及所属事业单位网上名称管理工作。</w:t>
      </w:r>
    </w:p>
    <w:p w14:paraId="077C84D0" w14:textId="77777777" w:rsidR="00A046DC" w:rsidRDefault="00000000">
      <w:pPr>
        <w:spacing w:line="570" w:lineRule="exact"/>
        <w:ind w:firstLineChars="200" w:firstLine="640"/>
        <w:rPr>
          <w:rFonts w:ascii="华文仿宋" w:eastAsia="华文仿宋" w:hAnsi="华文仿宋"/>
          <w:sz w:val="32"/>
          <w:szCs w:val="32"/>
        </w:rPr>
      </w:pPr>
      <w:r>
        <w:rPr>
          <w:rFonts w:ascii="华文仿宋" w:eastAsia="华文仿宋" w:hAnsi="华文仿宋"/>
          <w:sz w:val="32"/>
          <w:szCs w:val="32"/>
        </w:rPr>
        <w:t>（二十</w:t>
      </w:r>
      <w:r>
        <w:rPr>
          <w:rFonts w:ascii="华文仿宋" w:eastAsia="华文仿宋" w:hAnsi="华文仿宋" w:hint="eastAsia"/>
          <w:sz w:val="32"/>
          <w:szCs w:val="32"/>
        </w:rPr>
        <w:t>二</w:t>
      </w:r>
      <w:r>
        <w:rPr>
          <w:rFonts w:ascii="华文仿宋" w:eastAsia="华文仿宋" w:hAnsi="华文仿宋"/>
          <w:sz w:val="32"/>
          <w:szCs w:val="32"/>
        </w:rPr>
        <w:t>）负责本部门、本系统突发公共事件的应急管理工作，贯彻落实突发公共事件应急预案，预防和处置本部门、本系统的突发事件。</w:t>
      </w:r>
    </w:p>
    <w:p w14:paraId="4EFFCA7F" w14:textId="77777777" w:rsidR="00A046DC" w:rsidRDefault="00000000">
      <w:pPr>
        <w:spacing w:line="570" w:lineRule="exact"/>
        <w:ind w:firstLineChars="200" w:firstLine="640"/>
        <w:rPr>
          <w:rFonts w:ascii="华文仿宋" w:eastAsia="华文仿宋" w:hAnsi="华文仿宋"/>
          <w:color w:val="000000"/>
          <w:sz w:val="32"/>
          <w:szCs w:val="32"/>
        </w:rPr>
      </w:pPr>
      <w:r>
        <w:rPr>
          <w:rFonts w:ascii="华文仿宋" w:eastAsia="华文仿宋" w:hAnsi="华文仿宋"/>
          <w:color w:val="000000"/>
          <w:sz w:val="32"/>
          <w:szCs w:val="32"/>
        </w:rPr>
        <w:t>（二十</w:t>
      </w:r>
      <w:r>
        <w:rPr>
          <w:rFonts w:ascii="华文仿宋" w:eastAsia="华文仿宋" w:hAnsi="华文仿宋" w:hint="eastAsia"/>
          <w:color w:val="000000"/>
          <w:sz w:val="32"/>
          <w:szCs w:val="32"/>
        </w:rPr>
        <w:t>三</w:t>
      </w:r>
      <w:r>
        <w:rPr>
          <w:rFonts w:ascii="华文仿宋" w:eastAsia="华文仿宋" w:hAnsi="华文仿宋"/>
          <w:color w:val="000000"/>
          <w:sz w:val="32"/>
          <w:szCs w:val="32"/>
        </w:rPr>
        <w:t>）负责</w:t>
      </w:r>
      <w:r>
        <w:rPr>
          <w:rFonts w:ascii="华文仿宋" w:eastAsia="华文仿宋" w:hAnsi="华文仿宋"/>
          <w:color w:val="000000"/>
          <w:kern w:val="0"/>
          <w:sz w:val="32"/>
          <w:szCs w:val="32"/>
        </w:rPr>
        <w:t>区食品安全</w:t>
      </w:r>
      <w:r>
        <w:rPr>
          <w:rFonts w:ascii="华文仿宋" w:eastAsia="华文仿宋" w:hAnsi="华文仿宋" w:hint="eastAsia"/>
          <w:color w:val="000000"/>
          <w:kern w:val="0"/>
          <w:sz w:val="32"/>
          <w:szCs w:val="32"/>
        </w:rPr>
        <w:t>委员会</w:t>
      </w:r>
      <w:r>
        <w:rPr>
          <w:rFonts w:ascii="华文仿宋" w:eastAsia="华文仿宋" w:hAnsi="华文仿宋"/>
          <w:color w:val="000000"/>
          <w:kern w:val="0"/>
          <w:sz w:val="32"/>
          <w:szCs w:val="32"/>
        </w:rPr>
        <w:t>办公室、燃煤散烧管控工作办公室、烟草市场综合整治办公室、打击传销规范直销工作领导小组办公室、企业信用信息归集共享工作联席会议办公室</w:t>
      </w:r>
      <w:r>
        <w:rPr>
          <w:rFonts w:ascii="华文仿宋" w:eastAsia="华文仿宋" w:hAnsi="华文仿宋"/>
          <w:color w:val="000000"/>
          <w:sz w:val="32"/>
          <w:szCs w:val="32"/>
        </w:rPr>
        <w:t>日常工作。</w:t>
      </w:r>
    </w:p>
    <w:p w14:paraId="4608470C" w14:textId="77777777" w:rsidR="00A046DC" w:rsidRDefault="00000000">
      <w:pPr>
        <w:spacing w:line="570" w:lineRule="exact"/>
        <w:ind w:firstLineChars="200" w:firstLine="640"/>
        <w:rPr>
          <w:rFonts w:ascii="华文仿宋" w:eastAsia="华文仿宋" w:hAnsi="华文仿宋"/>
          <w:sz w:val="32"/>
          <w:szCs w:val="32"/>
        </w:rPr>
      </w:pPr>
      <w:r>
        <w:rPr>
          <w:rFonts w:ascii="华文仿宋" w:eastAsia="华文仿宋" w:hAnsi="华文仿宋"/>
          <w:sz w:val="32"/>
          <w:szCs w:val="32"/>
        </w:rPr>
        <w:t>（二十</w:t>
      </w:r>
      <w:r>
        <w:rPr>
          <w:rFonts w:ascii="华文仿宋" w:eastAsia="华文仿宋" w:hAnsi="华文仿宋" w:hint="eastAsia"/>
          <w:sz w:val="32"/>
          <w:szCs w:val="32"/>
        </w:rPr>
        <w:t>四</w:t>
      </w:r>
      <w:r>
        <w:rPr>
          <w:rFonts w:ascii="华文仿宋" w:eastAsia="华文仿宋" w:hAnsi="华文仿宋"/>
          <w:sz w:val="32"/>
          <w:szCs w:val="32"/>
        </w:rPr>
        <w:t>）完成区委、区政府交办的其他任务。</w:t>
      </w:r>
    </w:p>
    <w:p w14:paraId="469A7A31" w14:textId="77777777" w:rsidR="00A046DC" w:rsidRDefault="00000000">
      <w:pPr>
        <w:spacing w:line="570" w:lineRule="exact"/>
        <w:ind w:firstLineChars="200" w:firstLine="640"/>
        <w:rPr>
          <w:rFonts w:ascii="华文仿宋" w:eastAsia="华文仿宋" w:hAnsi="华文仿宋"/>
          <w:sz w:val="32"/>
          <w:szCs w:val="32"/>
        </w:rPr>
      </w:pPr>
      <w:r>
        <w:rPr>
          <w:rFonts w:ascii="华文仿宋" w:eastAsia="华文仿宋" w:hAnsi="华文仿宋"/>
          <w:sz w:val="32"/>
          <w:szCs w:val="32"/>
        </w:rPr>
        <w:t>（二十</w:t>
      </w:r>
      <w:r>
        <w:rPr>
          <w:rFonts w:ascii="华文仿宋" w:eastAsia="华文仿宋" w:hAnsi="华文仿宋" w:hint="eastAsia"/>
          <w:sz w:val="32"/>
          <w:szCs w:val="32"/>
        </w:rPr>
        <w:t>五</w:t>
      </w:r>
      <w:r>
        <w:rPr>
          <w:rFonts w:ascii="华文仿宋" w:eastAsia="华文仿宋" w:hAnsi="华文仿宋"/>
          <w:sz w:val="32"/>
          <w:szCs w:val="32"/>
        </w:rPr>
        <w:t>）职责分工。</w:t>
      </w:r>
    </w:p>
    <w:p w14:paraId="2F4E73AE" w14:textId="77777777" w:rsidR="00A046DC" w:rsidRDefault="00000000">
      <w:pPr>
        <w:spacing w:line="620" w:lineRule="exact"/>
        <w:ind w:firstLineChars="200" w:firstLine="640"/>
        <w:rPr>
          <w:rFonts w:ascii="华文仿宋" w:eastAsia="华文仿宋" w:hAnsi="华文仿宋" w:cs="仿宋"/>
          <w:sz w:val="32"/>
          <w:szCs w:val="32"/>
        </w:rPr>
      </w:pPr>
      <w:r>
        <w:rPr>
          <w:rFonts w:ascii="华文仿宋" w:eastAsia="华文仿宋" w:hAnsi="华文仿宋"/>
          <w:sz w:val="32"/>
          <w:szCs w:val="32"/>
          <w:lang w:val="zh-CN"/>
        </w:rPr>
        <w:t>1</w:t>
      </w:r>
      <w:r>
        <w:rPr>
          <w:rFonts w:ascii="华文仿宋" w:eastAsia="华文仿宋" w:hAnsi="华文仿宋" w:hint="eastAsia"/>
          <w:sz w:val="32"/>
          <w:szCs w:val="32"/>
          <w:lang w:val="zh-CN"/>
        </w:rPr>
        <w:t>.</w:t>
      </w:r>
      <w:r>
        <w:rPr>
          <w:rFonts w:ascii="华文仿宋" w:eastAsia="华文仿宋" w:hAnsi="华文仿宋" w:hint="eastAsia"/>
          <w:sz w:val="32"/>
          <w:szCs w:val="32"/>
        </w:rPr>
        <w:t>与区公安部门的有关职责分工。</w:t>
      </w:r>
      <w:r>
        <w:rPr>
          <w:rFonts w:ascii="华文仿宋" w:eastAsia="华文仿宋" w:hAnsi="华文仿宋" w:cs="仿宋" w:hint="eastAsia"/>
          <w:sz w:val="32"/>
          <w:szCs w:val="32"/>
        </w:rPr>
        <w:t>区市场监管局与区公安部门建立行政执法和刑事司法工作衔接机制。市场监督管理部门发现违法行为涉嫌犯罪的，应当按照有关规定及时移送公安部门，公安部门应当迅速进行审查，并依法做出立案或者不予立案的决定。公安部门依法提请市场监督管理部门做出检验、鉴定、认定等协助的，市场监督管理部门应当予以协助。</w:t>
      </w:r>
    </w:p>
    <w:p w14:paraId="6FB8B7CB" w14:textId="77777777" w:rsidR="00A046DC" w:rsidRDefault="00000000">
      <w:pPr>
        <w:spacing w:line="620" w:lineRule="exact"/>
        <w:ind w:firstLineChars="200" w:firstLine="640"/>
        <w:rPr>
          <w:rFonts w:ascii="华文仿宋" w:eastAsia="华文仿宋" w:hAnsi="华文仿宋" w:cs="仿宋"/>
          <w:sz w:val="32"/>
          <w:szCs w:val="32"/>
        </w:rPr>
      </w:pPr>
      <w:r>
        <w:rPr>
          <w:rFonts w:ascii="华文仿宋" w:eastAsia="华文仿宋" w:hAnsi="华文仿宋"/>
          <w:sz w:val="32"/>
          <w:szCs w:val="32"/>
        </w:rPr>
        <w:t>2</w:t>
      </w:r>
      <w:r>
        <w:rPr>
          <w:rFonts w:ascii="华文仿宋" w:eastAsia="华文仿宋" w:hAnsi="华文仿宋" w:cs="仿宋" w:hint="eastAsia"/>
          <w:sz w:val="32"/>
          <w:szCs w:val="32"/>
        </w:rPr>
        <w:t>.与区农业农村局的有关职责分工。区农业农村局负责</w:t>
      </w:r>
      <w:r>
        <w:rPr>
          <w:rFonts w:ascii="华文仿宋" w:eastAsia="华文仿宋" w:hAnsi="华文仿宋" w:cs="仿宋" w:hint="eastAsia"/>
          <w:sz w:val="32"/>
          <w:szCs w:val="32"/>
        </w:rPr>
        <w:lastRenderedPageBreak/>
        <w:t>食用农产品从种植养殖环节到进入批发、零售市场或者生产加工企业前的质量安全监督管理；食用农产品进入批发、零售市场或者生产加工企业后，由区市场监管局监督管理。区农业农村局负责动植物疫病防控、畜禽屠宰环节、生鲜乳收购环节质量安全的监督管理；两部门要建立食品安全产地准出、市场准入和追溯机制，加强协调配合和工作衔接，形成监管合力。</w:t>
      </w:r>
    </w:p>
    <w:p w14:paraId="1C6FE1EE" w14:textId="77777777" w:rsidR="00A046DC" w:rsidRDefault="00000000">
      <w:pPr>
        <w:spacing w:line="620" w:lineRule="exact"/>
        <w:ind w:firstLineChars="200" w:firstLine="640"/>
        <w:rPr>
          <w:rFonts w:ascii="华文仿宋" w:eastAsia="华文仿宋" w:hAnsi="华文仿宋" w:cs="仿宋"/>
          <w:sz w:val="32"/>
          <w:szCs w:val="32"/>
        </w:rPr>
      </w:pPr>
      <w:r>
        <w:rPr>
          <w:rFonts w:ascii="华文仿宋" w:eastAsia="华文仿宋" w:hAnsi="华文仿宋"/>
          <w:sz w:val="32"/>
          <w:szCs w:val="32"/>
        </w:rPr>
        <w:t>3</w:t>
      </w:r>
      <w:r>
        <w:rPr>
          <w:rFonts w:ascii="华文仿宋" w:eastAsia="华文仿宋" w:hAnsi="华文仿宋" w:cs="仿宋" w:hint="eastAsia"/>
          <w:sz w:val="32"/>
          <w:szCs w:val="32"/>
        </w:rPr>
        <w:t>.与区卫生健康委员会的有关职责分工。区卫生健康委员会负责食品安全风险评估工作，会同区市场监管局等部门制定、实施食品安全风险监测计划。区卫生健康委员会对通过食品安全风险监测或者接到举报发现食品可能存在安全隐患的，应当立即组织进行检验和食品安全风险评估，并及时向区市场监管局通报食品安全风险评估结果，对于得出不安全结论的食品，区市场监管局应当立即采取措施。区市场监管局在监督管理工作中发现需要进行食品安全风险评估的，应当及时向区卫生健康委员会提出建议。区市场监管局会同区卫生健康委员会建立重大药品不良反应和医疗器械不良事件相互通报机制和联合处置机制。</w:t>
      </w:r>
    </w:p>
    <w:p w14:paraId="0B3B329E" w14:textId="77777777" w:rsidR="00A046DC" w:rsidRDefault="00000000">
      <w:pPr>
        <w:spacing w:line="620" w:lineRule="exact"/>
        <w:ind w:firstLineChars="200" w:firstLine="640"/>
        <w:rPr>
          <w:rFonts w:ascii="华文仿宋" w:eastAsia="华文仿宋" w:hAnsi="华文仿宋"/>
          <w:sz w:val="32"/>
          <w:szCs w:val="32"/>
          <w:lang w:val="zh-CN"/>
        </w:rPr>
      </w:pPr>
      <w:r>
        <w:rPr>
          <w:rFonts w:ascii="华文仿宋" w:eastAsia="华文仿宋" w:hAnsi="华文仿宋" w:hint="eastAsia"/>
          <w:color w:val="000000"/>
          <w:kern w:val="0"/>
          <w:sz w:val="32"/>
          <w:szCs w:val="32"/>
        </w:rPr>
        <w:t>4</w:t>
      </w:r>
      <w:r>
        <w:rPr>
          <w:rFonts w:ascii="华文仿宋" w:eastAsia="华文仿宋" w:hAnsi="华文仿宋" w:hint="eastAsia"/>
          <w:sz w:val="32"/>
          <w:szCs w:val="32"/>
        </w:rPr>
        <w:t>.与区商务局的有关职责分工。</w:t>
      </w:r>
      <w:r>
        <w:rPr>
          <w:rFonts w:ascii="华文仿宋" w:eastAsia="华文仿宋" w:hAnsi="华文仿宋" w:cs="仿宋" w:hint="eastAsia"/>
          <w:sz w:val="32"/>
          <w:szCs w:val="32"/>
        </w:rPr>
        <w:t>区市场监管局</w:t>
      </w:r>
      <w:r>
        <w:rPr>
          <w:rFonts w:ascii="华文仿宋" w:eastAsia="华文仿宋" w:hAnsi="华文仿宋" w:hint="eastAsia"/>
          <w:sz w:val="32"/>
          <w:szCs w:val="32"/>
          <w:lang w:val="zh-CN"/>
        </w:rPr>
        <w:t>负责统筹协调涉外知识产权事宜。区商务局负责与经贸相关的知识产权对外谈判、合作磋商和立场协调等工作。区商务局负责拟订药品流通发展规划和政策，</w:t>
      </w:r>
      <w:r>
        <w:rPr>
          <w:rFonts w:ascii="华文仿宋" w:eastAsia="华文仿宋" w:hAnsi="华文仿宋" w:cs="仿宋" w:hint="eastAsia"/>
          <w:sz w:val="32"/>
          <w:szCs w:val="32"/>
        </w:rPr>
        <w:t>区市场监管局</w:t>
      </w:r>
      <w:r>
        <w:rPr>
          <w:rFonts w:ascii="华文仿宋" w:eastAsia="华文仿宋" w:hAnsi="华文仿宋" w:hint="eastAsia"/>
          <w:sz w:val="32"/>
          <w:szCs w:val="32"/>
          <w:lang w:val="zh-CN"/>
        </w:rPr>
        <w:t>在药品监督管理</w:t>
      </w:r>
      <w:r>
        <w:rPr>
          <w:rFonts w:ascii="华文仿宋" w:eastAsia="华文仿宋" w:hAnsi="华文仿宋" w:hint="eastAsia"/>
          <w:sz w:val="32"/>
          <w:szCs w:val="32"/>
          <w:lang w:val="zh-CN"/>
        </w:rPr>
        <w:lastRenderedPageBreak/>
        <w:t>工作中，配合执行药品流通发展规划和政策。</w:t>
      </w:r>
    </w:p>
    <w:p w14:paraId="791191FD" w14:textId="77777777" w:rsidR="00A046DC" w:rsidRDefault="00000000">
      <w:pPr>
        <w:spacing w:line="620" w:lineRule="exact"/>
        <w:ind w:firstLineChars="200" w:firstLine="640"/>
        <w:rPr>
          <w:rFonts w:ascii="华文仿宋" w:eastAsia="华文仿宋" w:hAnsi="华文仿宋"/>
          <w:color w:val="000000"/>
          <w:kern w:val="0"/>
          <w:sz w:val="32"/>
          <w:szCs w:val="32"/>
        </w:rPr>
      </w:pPr>
      <w:r>
        <w:rPr>
          <w:rFonts w:ascii="华文仿宋" w:eastAsia="华文仿宋" w:hAnsi="华文仿宋" w:hint="eastAsia"/>
          <w:color w:val="000000"/>
          <w:sz w:val="32"/>
          <w:szCs w:val="32"/>
        </w:rPr>
        <w:t>5</w:t>
      </w:r>
      <w:r>
        <w:rPr>
          <w:rFonts w:ascii="华文仿宋" w:eastAsia="华文仿宋" w:hAnsi="华文仿宋" w:hint="eastAsia"/>
          <w:sz w:val="32"/>
          <w:szCs w:val="32"/>
        </w:rPr>
        <w:t>.</w:t>
      </w:r>
      <w:r>
        <w:rPr>
          <w:rFonts w:ascii="华文仿宋" w:eastAsia="华文仿宋" w:hAnsi="华文仿宋"/>
          <w:color w:val="000000"/>
          <w:kern w:val="0"/>
          <w:sz w:val="32"/>
          <w:szCs w:val="32"/>
        </w:rPr>
        <w:t>与区城市管理局在户外广告设施的设置管理有关职责分工</w:t>
      </w:r>
      <w:r>
        <w:rPr>
          <w:rFonts w:ascii="华文仿宋" w:eastAsia="华文仿宋" w:hAnsi="华文仿宋" w:hint="eastAsia"/>
          <w:color w:val="000000"/>
          <w:kern w:val="0"/>
          <w:sz w:val="32"/>
          <w:szCs w:val="32"/>
        </w:rPr>
        <w:t>。</w:t>
      </w:r>
      <w:r>
        <w:rPr>
          <w:rFonts w:ascii="华文仿宋" w:eastAsia="华文仿宋" w:hAnsi="华文仿宋"/>
          <w:color w:val="000000"/>
          <w:kern w:val="0"/>
          <w:sz w:val="32"/>
          <w:szCs w:val="32"/>
        </w:rPr>
        <w:t>区城市管理局（城市综合执法局）是户外广告设施设置的主管部门，负责会同有关部门拟订户外广告设施设置管理办法，落实相关专业规划和技术规范标准，并组织实施；负责户外广告设计、制作、安装、维护的监督管理，牵头协调户外广告设施管理工作。区市场监督管理局负责对广告内容的监督管理，对涉嫌违法广告内容进行查处。</w:t>
      </w:r>
    </w:p>
    <w:p w14:paraId="321A98C3" w14:textId="77777777" w:rsidR="00A046DC" w:rsidRDefault="00000000">
      <w:pPr>
        <w:spacing w:line="620" w:lineRule="exact"/>
        <w:ind w:firstLineChars="200" w:firstLine="640"/>
        <w:rPr>
          <w:rFonts w:ascii="华文仿宋" w:eastAsia="华文仿宋" w:hAnsi="华文仿宋"/>
          <w:color w:val="000000"/>
          <w:kern w:val="0"/>
          <w:sz w:val="32"/>
          <w:szCs w:val="32"/>
        </w:rPr>
      </w:pPr>
      <w:r>
        <w:rPr>
          <w:rFonts w:ascii="华文仿宋" w:eastAsia="华文仿宋" w:hAnsi="华文仿宋" w:hint="eastAsia"/>
          <w:color w:val="000000"/>
          <w:kern w:val="0"/>
          <w:sz w:val="32"/>
          <w:szCs w:val="32"/>
        </w:rPr>
        <w:t>6.</w:t>
      </w:r>
      <w:r>
        <w:rPr>
          <w:rFonts w:ascii="华文仿宋" w:eastAsia="华文仿宋" w:hAnsi="华文仿宋"/>
          <w:color w:val="000000"/>
          <w:kern w:val="0"/>
          <w:sz w:val="32"/>
          <w:szCs w:val="32"/>
        </w:rPr>
        <w:t>与区教育体育局、区民政局的有关职责分工</w:t>
      </w:r>
      <w:r>
        <w:rPr>
          <w:rFonts w:ascii="华文仿宋" w:eastAsia="华文仿宋" w:hAnsi="华文仿宋" w:hint="eastAsia"/>
          <w:color w:val="000000"/>
          <w:kern w:val="0"/>
          <w:sz w:val="32"/>
          <w:szCs w:val="32"/>
        </w:rPr>
        <w:t>。</w:t>
      </w:r>
      <w:r>
        <w:rPr>
          <w:rFonts w:ascii="华文仿宋" w:eastAsia="华文仿宋" w:hAnsi="华文仿宋"/>
          <w:color w:val="000000"/>
          <w:kern w:val="0"/>
          <w:sz w:val="32"/>
          <w:szCs w:val="32"/>
        </w:rPr>
        <w:t>区教育体育局负责审批管理幼儿园、民办初中小学和面向中小学生实施的与学校文化教育课程相关或者与升学、考试相关的非学历教育培训机构，对符合条件的颁发民办学校（培训机构）办学许可证。区市场监管局负责对营利性民办中小学、幼儿园、培训机构进行工商注册，发放工商营业证照。区民政局负责对非营利民办中小学、教育机构等颁发民办非企业登记证书。由区教育体育局、民政局、市场监管局根据各自工作职责依法对上述学校或教育机构进行联合管理。</w:t>
      </w:r>
    </w:p>
    <w:p w14:paraId="41634270" w14:textId="77777777" w:rsidR="00A046DC" w:rsidRDefault="00000000">
      <w:pPr>
        <w:widowControl/>
        <w:ind w:firstLineChars="200" w:firstLine="640"/>
        <w:jc w:val="left"/>
        <w:outlineLvl w:val="1"/>
        <w:rPr>
          <w:rFonts w:ascii="华文仿宋" w:eastAsia="华文仿宋" w:hAnsi="华文仿宋"/>
          <w:color w:val="000000"/>
          <w:kern w:val="0"/>
          <w:sz w:val="32"/>
          <w:szCs w:val="32"/>
        </w:rPr>
      </w:pPr>
      <w:r>
        <w:rPr>
          <w:rFonts w:ascii="华文仿宋" w:eastAsia="华文仿宋" w:hAnsi="华文仿宋"/>
          <w:color w:val="000000"/>
          <w:kern w:val="0"/>
          <w:sz w:val="32"/>
          <w:szCs w:val="32"/>
        </w:rPr>
        <w:t>各部门要密切配合，各负其责，形成合力，不得擅自设立前置条件，保证各项任务顺利</w:t>
      </w:r>
      <w:r>
        <w:rPr>
          <w:rFonts w:ascii="华文仿宋" w:eastAsia="华文仿宋" w:hAnsi="华文仿宋" w:hint="eastAsia"/>
          <w:color w:val="000000"/>
          <w:kern w:val="0"/>
          <w:sz w:val="32"/>
          <w:szCs w:val="32"/>
        </w:rPr>
        <w:t>完成</w:t>
      </w:r>
      <w:r>
        <w:rPr>
          <w:rFonts w:ascii="华文仿宋" w:eastAsia="华文仿宋" w:hAnsi="华文仿宋"/>
          <w:color w:val="000000"/>
          <w:kern w:val="0"/>
          <w:sz w:val="32"/>
          <w:szCs w:val="32"/>
        </w:rPr>
        <w:t>。</w:t>
      </w:r>
    </w:p>
    <w:p w14:paraId="302476AC" w14:textId="77777777" w:rsidR="00DA7F32" w:rsidRDefault="00000000" w:rsidP="00DA7F32">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14:paraId="7A152AB1" w14:textId="5C43CD36" w:rsidR="00A046DC" w:rsidRPr="00DA7F32" w:rsidRDefault="00000000" w:rsidP="00DA7F32">
      <w:pPr>
        <w:widowControl/>
        <w:ind w:firstLineChars="200" w:firstLine="640"/>
        <w:jc w:val="left"/>
        <w:outlineLvl w:val="1"/>
        <w:rPr>
          <w:rFonts w:ascii="黑体" w:eastAsia="黑体" w:hAnsi="黑体" w:cs="黑体"/>
          <w:kern w:val="0"/>
          <w:sz w:val="32"/>
          <w:szCs w:val="32"/>
        </w:rPr>
      </w:pPr>
      <w:r>
        <w:rPr>
          <w:rFonts w:ascii="华文仿宋" w:eastAsia="华文仿宋" w:hAnsi="华文仿宋" w:cs="仿宋_GB2312" w:hint="eastAsia"/>
          <w:kern w:val="0"/>
          <w:sz w:val="32"/>
          <w:szCs w:val="32"/>
        </w:rPr>
        <w:lastRenderedPageBreak/>
        <w:t>从决算单位构成看，区市场监督管理局部门决算是本级决算、无所属单位决算。纳入本部门2020年度部门决算编制范围的单位共1个。</w:t>
      </w:r>
    </w:p>
    <w:p w14:paraId="3186B135" w14:textId="1748FD0C" w:rsidR="00DA7F32" w:rsidRPr="00DA7F32" w:rsidRDefault="00DA7F32" w:rsidP="00DA7F32">
      <w:pPr>
        <w:pStyle w:val="a0"/>
        <w:ind w:firstLineChars="200" w:firstLine="640"/>
        <w:rPr>
          <w:rFonts w:hint="eastAsia"/>
        </w:rPr>
      </w:pPr>
      <w:r>
        <w:rPr>
          <w:rFonts w:ascii="华文仿宋" w:eastAsia="华文仿宋" w:hAnsi="华文仿宋" w:cs="仿宋_GB2312" w:hint="eastAsia"/>
          <w:kern w:val="0"/>
          <w:sz w:val="32"/>
          <w:szCs w:val="32"/>
        </w:rPr>
        <w:t>区市场监督管理局内设机构13个，包括：办公室、政策法规股、行政审批股、</w:t>
      </w:r>
      <w:r>
        <w:rPr>
          <w:rFonts w:ascii="华文仿宋" w:eastAsia="华文仿宋" w:hAnsi="华文仿宋" w:hint="eastAsia"/>
          <w:sz w:val="32"/>
          <w:szCs w:val="32"/>
        </w:rPr>
        <w:t>信用监督管理股、市场规范监督管理股12315投诉中心（消费者权益保护股）、</w:t>
      </w:r>
      <w:r>
        <w:rPr>
          <w:rFonts w:ascii="华文仿宋" w:eastAsia="华文仿宋" w:hAnsi="华文仿宋"/>
          <w:sz w:val="32"/>
          <w:szCs w:val="32"/>
        </w:rPr>
        <w:t>产(商)品质量</w:t>
      </w:r>
      <w:r>
        <w:rPr>
          <w:rFonts w:ascii="华文仿宋" w:eastAsia="华文仿宋" w:hAnsi="华文仿宋" w:hint="eastAsia"/>
          <w:sz w:val="32"/>
          <w:szCs w:val="32"/>
        </w:rPr>
        <w:t>监督管理</w:t>
      </w:r>
      <w:r>
        <w:rPr>
          <w:rFonts w:ascii="华文仿宋" w:eastAsia="华文仿宋" w:hAnsi="华文仿宋"/>
          <w:sz w:val="32"/>
          <w:szCs w:val="32"/>
        </w:rPr>
        <w:t>股</w:t>
      </w:r>
      <w:r>
        <w:rPr>
          <w:rFonts w:ascii="华文仿宋" w:eastAsia="华文仿宋" w:hAnsi="华文仿宋" w:hint="eastAsia"/>
          <w:sz w:val="32"/>
          <w:szCs w:val="32"/>
        </w:rPr>
        <w:t>、</w:t>
      </w:r>
      <w:r>
        <w:rPr>
          <w:rFonts w:ascii="华文仿宋" w:eastAsia="华文仿宋" w:hAnsi="华文仿宋"/>
          <w:sz w:val="32"/>
          <w:szCs w:val="32"/>
        </w:rPr>
        <w:t>食品生产</w:t>
      </w:r>
      <w:r>
        <w:rPr>
          <w:rFonts w:ascii="华文仿宋" w:eastAsia="华文仿宋" w:hAnsi="华文仿宋" w:hint="eastAsia"/>
          <w:sz w:val="32"/>
          <w:szCs w:val="32"/>
        </w:rPr>
        <w:t>监督管理股、</w:t>
      </w:r>
      <w:r>
        <w:rPr>
          <w:rFonts w:ascii="华文仿宋" w:eastAsia="华文仿宋" w:hAnsi="华文仿宋"/>
          <w:sz w:val="32"/>
          <w:szCs w:val="32"/>
        </w:rPr>
        <w:t>食品生产</w:t>
      </w:r>
      <w:r>
        <w:rPr>
          <w:rFonts w:ascii="华文仿宋" w:eastAsia="华文仿宋" w:hAnsi="华文仿宋" w:hint="eastAsia"/>
          <w:sz w:val="32"/>
          <w:szCs w:val="32"/>
        </w:rPr>
        <w:t>监督管理股、食品流通监督管理股、餐饮服务监督管理股、药品</w:t>
      </w:r>
      <w:r>
        <w:rPr>
          <w:rFonts w:ascii="华文仿宋" w:eastAsia="华文仿宋" w:hAnsi="华文仿宋" w:hint="eastAsia"/>
          <w:color w:val="000000"/>
          <w:sz w:val="32"/>
          <w:szCs w:val="32"/>
        </w:rPr>
        <w:t>医疗器械</w:t>
      </w:r>
      <w:r>
        <w:rPr>
          <w:rFonts w:ascii="华文仿宋" w:eastAsia="华文仿宋" w:hAnsi="华文仿宋" w:hint="eastAsia"/>
          <w:sz w:val="32"/>
          <w:szCs w:val="32"/>
        </w:rPr>
        <w:t>化妆品监督管理股、特种设备监督管理股、标准计量认证认可监督管理股</w:t>
      </w:r>
      <w:r>
        <w:rPr>
          <w:rFonts w:ascii="华文仿宋" w:eastAsia="华文仿宋" w:hAnsi="华文仿宋" w:cs="仿宋_GB2312" w:hint="eastAsia"/>
          <w:kern w:val="0"/>
          <w:sz w:val="32"/>
          <w:szCs w:val="32"/>
        </w:rPr>
        <w:t>。下设16个市场监督管理所，包括：李楼市</w:t>
      </w:r>
      <w:proofErr w:type="gramStart"/>
      <w:r>
        <w:rPr>
          <w:rFonts w:ascii="华文仿宋" w:eastAsia="华文仿宋" w:hAnsi="华文仿宋" w:cs="仿宋_GB2312" w:hint="eastAsia"/>
          <w:kern w:val="0"/>
          <w:sz w:val="32"/>
          <w:szCs w:val="32"/>
        </w:rPr>
        <w:t>场监督</w:t>
      </w:r>
      <w:proofErr w:type="gramEnd"/>
      <w:r>
        <w:rPr>
          <w:rFonts w:ascii="华文仿宋" w:eastAsia="华文仿宋" w:hAnsi="华文仿宋" w:cs="仿宋_GB2312" w:hint="eastAsia"/>
          <w:kern w:val="0"/>
          <w:sz w:val="32"/>
          <w:szCs w:val="32"/>
        </w:rPr>
        <w:t>管理所、安乐市场监督管理所、白马寺市场监督管理所、</w:t>
      </w:r>
      <w:proofErr w:type="gramStart"/>
      <w:r>
        <w:rPr>
          <w:rFonts w:ascii="华文仿宋" w:eastAsia="华文仿宋" w:hAnsi="华文仿宋" w:cs="仿宋_GB2312" w:hint="eastAsia"/>
          <w:kern w:val="0"/>
          <w:sz w:val="32"/>
          <w:szCs w:val="32"/>
        </w:rPr>
        <w:t>开元路</w:t>
      </w:r>
      <w:proofErr w:type="gramEnd"/>
      <w:r>
        <w:rPr>
          <w:rFonts w:ascii="华文仿宋" w:eastAsia="华文仿宋" w:hAnsi="华文仿宋" w:cs="仿宋_GB2312" w:hint="eastAsia"/>
          <w:kern w:val="0"/>
          <w:sz w:val="32"/>
          <w:szCs w:val="32"/>
        </w:rPr>
        <w:t>市场监督管理所、翠云路市场监督管理所、太康东路市场监督管理所、关林市场监督管理所、龙门市场监督管理所、科技园市场监督管理所、古城市场监督管理所、学府市场监督管理所、定鼎门市</w:t>
      </w:r>
      <w:proofErr w:type="gramStart"/>
      <w:r>
        <w:rPr>
          <w:rFonts w:ascii="华文仿宋" w:eastAsia="华文仿宋" w:hAnsi="华文仿宋" w:cs="仿宋_GB2312" w:hint="eastAsia"/>
          <w:kern w:val="0"/>
          <w:sz w:val="32"/>
          <w:szCs w:val="32"/>
        </w:rPr>
        <w:t>场监督</w:t>
      </w:r>
      <w:proofErr w:type="gramEnd"/>
      <w:r>
        <w:rPr>
          <w:rFonts w:ascii="华文仿宋" w:eastAsia="华文仿宋" w:hAnsi="华文仿宋" w:cs="仿宋_GB2312" w:hint="eastAsia"/>
          <w:kern w:val="0"/>
          <w:sz w:val="32"/>
          <w:szCs w:val="32"/>
        </w:rPr>
        <w:t>管理所、商贸城市场监督管理所、广利街市</w:t>
      </w:r>
      <w:proofErr w:type="gramStart"/>
      <w:r>
        <w:rPr>
          <w:rFonts w:ascii="华文仿宋" w:eastAsia="华文仿宋" w:hAnsi="华文仿宋" w:cs="仿宋_GB2312" w:hint="eastAsia"/>
          <w:kern w:val="0"/>
          <w:sz w:val="32"/>
          <w:szCs w:val="32"/>
        </w:rPr>
        <w:t>场监督</w:t>
      </w:r>
      <w:proofErr w:type="gramEnd"/>
      <w:r>
        <w:rPr>
          <w:rFonts w:ascii="华文仿宋" w:eastAsia="华文仿宋" w:hAnsi="华文仿宋" w:cs="仿宋_GB2312" w:hint="eastAsia"/>
          <w:kern w:val="0"/>
          <w:sz w:val="32"/>
          <w:szCs w:val="32"/>
        </w:rPr>
        <w:t>管理所、龙门高铁</w:t>
      </w:r>
      <w:proofErr w:type="gramStart"/>
      <w:r>
        <w:rPr>
          <w:rFonts w:ascii="华文仿宋" w:eastAsia="华文仿宋" w:hAnsi="华文仿宋" w:cs="仿宋_GB2312" w:hint="eastAsia"/>
          <w:kern w:val="0"/>
          <w:sz w:val="32"/>
          <w:szCs w:val="32"/>
        </w:rPr>
        <w:t>站市场</w:t>
      </w:r>
      <w:proofErr w:type="gramEnd"/>
      <w:r>
        <w:rPr>
          <w:rFonts w:ascii="华文仿宋" w:eastAsia="华文仿宋" w:hAnsi="华文仿宋" w:cs="仿宋_GB2312" w:hint="eastAsia"/>
          <w:kern w:val="0"/>
          <w:sz w:val="32"/>
          <w:szCs w:val="32"/>
        </w:rPr>
        <w:t>监督管理所、</w:t>
      </w:r>
      <w:proofErr w:type="gramStart"/>
      <w:r>
        <w:rPr>
          <w:rFonts w:ascii="华文仿宋" w:eastAsia="华文仿宋" w:hAnsi="华文仿宋" w:cs="仿宋_GB2312" w:hint="eastAsia"/>
          <w:kern w:val="0"/>
          <w:sz w:val="32"/>
          <w:szCs w:val="32"/>
        </w:rPr>
        <w:t>洛</w:t>
      </w:r>
      <w:proofErr w:type="gramEnd"/>
      <w:r>
        <w:rPr>
          <w:rFonts w:ascii="华文仿宋" w:eastAsia="华文仿宋" w:hAnsi="华文仿宋" w:cs="仿宋_GB2312" w:hint="eastAsia"/>
          <w:kern w:val="0"/>
          <w:sz w:val="32"/>
          <w:szCs w:val="32"/>
        </w:rPr>
        <w:t>龙高新区市场监督管理所。</w:t>
      </w:r>
    </w:p>
    <w:p w14:paraId="1913BE2A" w14:textId="77777777" w:rsidR="00A046DC" w:rsidRDefault="00A046DC">
      <w:pPr>
        <w:widowControl/>
        <w:jc w:val="left"/>
        <w:rPr>
          <w:rFonts w:ascii="黑体" w:eastAsia="黑体" w:hAnsi="宋体" w:cs="宋体"/>
          <w:kern w:val="0"/>
          <w:sz w:val="28"/>
          <w:szCs w:val="28"/>
        </w:rPr>
      </w:pPr>
    </w:p>
    <w:p w14:paraId="25732075" w14:textId="77777777" w:rsidR="00A046DC" w:rsidRDefault="00A046DC">
      <w:pPr>
        <w:widowControl/>
        <w:jc w:val="left"/>
        <w:rPr>
          <w:rFonts w:ascii="黑体" w:eastAsia="黑体" w:hAnsi="宋体" w:cs="宋体"/>
          <w:kern w:val="0"/>
          <w:sz w:val="28"/>
          <w:szCs w:val="28"/>
        </w:rPr>
      </w:pPr>
    </w:p>
    <w:p w14:paraId="4CB1021E" w14:textId="77777777" w:rsidR="00A046DC" w:rsidRDefault="00A046DC">
      <w:pPr>
        <w:widowControl/>
        <w:jc w:val="left"/>
        <w:rPr>
          <w:rFonts w:ascii="黑体" w:eastAsia="黑体" w:hAnsi="宋体" w:cs="宋体"/>
          <w:kern w:val="0"/>
          <w:sz w:val="28"/>
          <w:szCs w:val="28"/>
        </w:rPr>
      </w:pPr>
    </w:p>
    <w:p w14:paraId="3DAB1C07" w14:textId="77777777" w:rsidR="00A046DC" w:rsidRDefault="00A046DC">
      <w:pPr>
        <w:widowControl/>
        <w:jc w:val="left"/>
        <w:rPr>
          <w:rFonts w:ascii="黑体" w:eastAsia="黑体" w:hAnsi="宋体" w:cs="宋体"/>
          <w:kern w:val="0"/>
          <w:sz w:val="28"/>
          <w:szCs w:val="28"/>
        </w:rPr>
      </w:pPr>
    </w:p>
    <w:p w14:paraId="685F1E4B" w14:textId="77777777" w:rsidR="00A046DC" w:rsidRDefault="00A046DC">
      <w:pPr>
        <w:widowControl/>
        <w:jc w:val="left"/>
        <w:rPr>
          <w:rFonts w:ascii="黑体" w:eastAsia="黑体" w:hAnsi="宋体" w:cs="宋体"/>
          <w:kern w:val="0"/>
          <w:sz w:val="28"/>
          <w:szCs w:val="28"/>
        </w:rPr>
      </w:pPr>
    </w:p>
    <w:p w14:paraId="241A16B6" w14:textId="77777777" w:rsidR="00A046DC" w:rsidRDefault="00A046DC">
      <w:pPr>
        <w:widowControl/>
        <w:jc w:val="left"/>
        <w:rPr>
          <w:rFonts w:ascii="黑体" w:eastAsia="黑体" w:hAnsi="宋体" w:cs="宋体"/>
          <w:kern w:val="0"/>
          <w:sz w:val="28"/>
          <w:szCs w:val="28"/>
        </w:rPr>
      </w:pPr>
    </w:p>
    <w:p w14:paraId="17E61A70" w14:textId="77777777" w:rsidR="00A046DC" w:rsidRDefault="00A046DC">
      <w:pPr>
        <w:widowControl/>
        <w:jc w:val="left"/>
        <w:rPr>
          <w:rFonts w:ascii="黑体" w:eastAsia="黑体" w:hAnsi="宋体" w:cs="宋体"/>
          <w:kern w:val="0"/>
          <w:sz w:val="28"/>
          <w:szCs w:val="28"/>
        </w:rPr>
      </w:pPr>
    </w:p>
    <w:p w14:paraId="7190F7C0" w14:textId="77777777" w:rsidR="00A046DC" w:rsidRDefault="00A046DC">
      <w:pPr>
        <w:widowControl/>
        <w:jc w:val="left"/>
        <w:rPr>
          <w:rFonts w:ascii="黑体" w:eastAsia="黑体" w:hAnsi="宋体" w:cs="宋体"/>
          <w:kern w:val="0"/>
          <w:sz w:val="28"/>
          <w:szCs w:val="28"/>
        </w:rPr>
      </w:pPr>
    </w:p>
    <w:p w14:paraId="617D8260" w14:textId="77777777" w:rsidR="00A046DC" w:rsidRDefault="00A046DC">
      <w:pPr>
        <w:jc w:val="center"/>
        <w:outlineLvl w:val="0"/>
        <w:rPr>
          <w:rFonts w:ascii="黑体" w:eastAsia="黑体" w:hAnsi="黑体" w:cs="黑体"/>
          <w:sz w:val="48"/>
          <w:szCs w:val="48"/>
        </w:rPr>
      </w:pPr>
    </w:p>
    <w:p w14:paraId="26FF8002" w14:textId="77777777" w:rsidR="00A046DC" w:rsidRDefault="00A046DC">
      <w:pPr>
        <w:jc w:val="center"/>
        <w:outlineLvl w:val="0"/>
        <w:rPr>
          <w:rFonts w:ascii="黑体" w:eastAsia="黑体" w:hAnsi="黑体" w:cs="黑体"/>
          <w:sz w:val="48"/>
          <w:szCs w:val="48"/>
        </w:rPr>
      </w:pPr>
    </w:p>
    <w:p w14:paraId="32DE8C1E" w14:textId="77777777" w:rsidR="00A046DC" w:rsidRDefault="00A046DC">
      <w:pPr>
        <w:jc w:val="center"/>
        <w:outlineLvl w:val="0"/>
        <w:rPr>
          <w:rFonts w:ascii="黑体" w:eastAsia="黑体" w:hAnsi="黑体" w:cs="黑体"/>
          <w:sz w:val="48"/>
          <w:szCs w:val="48"/>
        </w:rPr>
      </w:pPr>
    </w:p>
    <w:p w14:paraId="1EB22801" w14:textId="77777777" w:rsidR="00A046DC" w:rsidRDefault="00A046DC">
      <w:pPr>
        <w:jc w:val="center"/>
        <w:outlineLvl w:val="0"/>
        <w:rPr>
          <w:rFonts w:ascii="黑体" w:eastAsia="黑体" w:hAnsi="黑体" w:cs="黑体"/>
          <w:sz w:val="48"/>
          <w:szCs w:val="48"/>
        </w:rPr>
      </w:pPr>
    </w:p>
    <w:p w14:paraId="33B55E52" w14:textId="77777777" w:rsidR="00A046DC" w:rsidRDefault="00A046DC">
      <w:pPr>
        <w:jc w:val="center"/>
        <w:outlineLvl w:val="0"/>
        <w:rPr>
          <w:rFonts w:ascii="黑体" w:eastAsia="黑体" w:hAnsi="黑体" w:cs="黑体"/>
          <w:sz w:val="48"/>
          <w:szCs w:val="48"/>
        </w:rPr>
      </w:pPr>
    </w:p>
    <w:p w14:paraId="4FF02CDB" w14:textId="77777777" w:rsidR="00A046DC" w:rsidRDefault="00A046DC">
      <w:pPr>
        <w:jc w:val="center"/>
        <w:outlineLvl w:val="0"/>
        <w:rPr>
          <w:rFonts w:ascii="黑体" w:eastAsia="黑体" w:hAnsi="黑体" w:cs="黑体"/>
          <w:sz w:val="48"/>
          <w:szCs w:val="48"/>
        </w:rPr>
      </w:pPr>
    </w:p>
    <w:p w14:paraId="4BF5A8D2" w14:textId="77777777" w:rsidR="00A046DC" w:rsidRDefault="00A046DC">
      <w:pPr>
        <w:jc w:val="center"/>
        <w:outlineLvl w:val="0"/>
        <w:rPr>
          <w:rFonts w:ascii="黑体" w:eastAsia="黑体" w:hAnsi="黑体" w:cs="黑体"/>
          <w:sz w:val="48"/>
          <w:szCs w:val="48"/>
        </w:rPr>
      </w:pPr>
    </w:p>
    <w:p w14:paraId="2A5A6345" w14:textId="77777777" w:rsidR="00A046DC" w:rsidRDefault="00A046DC">
      <w:pPr>
        <w:jc w:val="center"/>
        <w:outlineLvl w:val="0"/>
        <w:rPr>
          <w:rFonts w:ascii="黑体" w:eastAsia="黑体" w:hAnsi="黑体" w:cs="黑体"/>
          <w:sz w:val="48"/>
          <w:szCs w:val="48"/>
        </w:rPr>
      </w:pPr>
    </w:p>
    <w:p w14:paraId="689F25E1" w14:textId="77777777" w:rsidR="00A046DC" w:rsidRDefault="00A046DC">
      <w:pPr>
        <w:jc w:val="center"/>
        <w:outlineLvl w:val="0"/>
        <w:rPr>
          <w:rFonts w:ascii="黑体" w:eastAsia="黑体" w:hAnsi="黑体" w:cs="黑体"/>
          <w:sz w:val="48"/>
          <w:szCs w:val="48"/>
        </w:rPr>
      </w:pPr>
    </w:p>
    <w:p w14:paraId="3C7D2472" w14:textId="77777777" w:rsidR="00A046DC" w:rsidRDefault="00A046DC">
      <w:pPr>
        <w:jc w:val="center"/>
        <w:outlineLvl w:val="0"/>
        <w:rPr>
          <w:rFonts w:ascii="黑体" w:eastAsia="黑体" w:hAnsi="黑体" w:cs="黑体"/>
          <w:sz w:val="48"/>
          <w:szCs w:val="48"/>
        </w:rPr>
      </w:pPr>
    </w:p>
    <w:p w14:paraId="27EBFEFC" w14:textId="77777777" w:rsidR="00A046DC" w:rsidRDefault="00A046DC">
      <w:pPr>
        <w:jc w:val="center"/>
        <w:outlineLvl w:val="0"/>
        <w:rPr>
          <w:rFonts w:ascii="黑体" w:eastAsia="黑体" w:hAnsi="黑体" w:cs="黑体"/>
          <w:sz w:val="48"/>
          <w:szCs w:val="48"/>
        </w:rPr>
      </w:pPr>
    </w:p>
    <w:p w14:paraId="23A1CDA9" w14:textId="77777777" w:rsidR="00A046DC" w:rsidRDefault="00000000">
      <w:pPr>
        <w:jc w:val="center"/>
        <w:outlineLvl w:val="0"/>
        <w:rPr>
          <w:rFonts w:ascii="黑体" w:eastAsia="黑体" w:hAnsi="宋体" w:cs="宋体"/>
          <w:kern w:val="0"/>
          <w:sz w:val="28"/>
          <w:szCs w:val="28"/>
        </w:rPr>
        <w:sectPr w:rsidR="00A046DC">
          <w:pgSz w:w="11906" w:h="16838"/>
          <w:pgMar w:top="1440" w:right="1800" w:bottom="1440" w:left="1800" w:header="720" w:footer="720" w:gutter="0"/>
          <w:pgNumType w:fmt="numberInDash"/>
          <w:cols w:space="720"/>
          <w:docGrid w:type="lines" w:linePitch="312"/>
        </w:sectPr>
      </w:pPr>
      <w:r>
        <w:rPr>
          <w:rFonts w:ascii="黑体" w:eastAsia="黑体" w:hAnsi="黑体" w:cs="黑体" w:hint="eastAsia"/>
          <w:sz w:val="48"/>
          <w:szCs w:val="48"/>
        </w:rPr>
        <w:t>第二部分  2020年度部门决算表</w:t>
      </w:r>
    </w:p>
    <w:p w14:paraId="115B8425" w14:textId="77777777" w:rsidR="00A046DC" w:rsidRDefault="00000000">
      <w:pPr>
        <w:rPr>
          <w:rFonts w:ascii="仿宋_GB2312" w:eastAsia="仿宋_GB2312" w:hAnsi="仿宋_GB2312" w:cs="仿宋_GB2312"/>
          <w:sz w:val="32"/>
          <w:szCs w:val="32"/>
        </w:rPr>
        <w:sectPr w:rsidR="00A046DC">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object w:dxaOrig="13918" w:dyaOrig="9448" w14:anchorId="42919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9pt;height:472.4pt" o:ole="">
            <v:imagedata r:id="rId10" o:title=""/>
            <o:lock v:ext="edit" aspectratio="f"/>
          </v:shape>
          <o:OLEObject Type="Embed" ProgID="Excel.Sheet.12" ShapeID="_x0000_i1025" DrawAspect="Content" ObjectID="_1722961868" r:id="rId11"/>
        </w:object>
      </w:r>
    </w:p>
    <w:p w14:paraId="7EE9384F" w14:textId="77777777" w:rsidR="00A046DC"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3958" w:dyaOrig="8370" w14:anchorId="66B73985">
          <v:shape id="_x0000_i1026" type="#_x0000_t75" style="width:697.9pt;height:418.5pt" o:ole="">
            <v:imagedata r:id="rId12" o:title=""/>
            <o:lock v:ext="edit" aspectratio="f"/>
          </v:shape>
          <o:OLEObject Type="Embed" ProgID="Excel.Sheet.12" ShapeID="_x0000_i1026" DrawAspect="Content" ObjectID="_1722961869" r:id="rId13"/>
        </w:object>
      </w:r>
    </w:p>
    <w:p w14:paraId="542229BB" w14:textId="77777777" w:rsidR="00A046DC"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3957" w:dyaOrig="9662" w14:anchorId="1E267E22">
          <v:shape id="_x0000_i1027" type="#_x0000_t75" style="width:697.85pt;height:483.1pt" o:ole="">
            <v:imagedata r:id="rId14" o:title=""/>
            <o:lock v:ext="edit" aspectratio="f"/>
          </v:shape>
          <o:OLEObject Type="Embed" ProgID="Excel.Sheet.12" ShapeID="_x0000_i1027" DrawAspect="Content" ObjectID="_1722961870" r:id="rId15"/>
        </w:object>
      </w:r>
    </w:p>
    <w:p w14:paraId="3DA7CEAA" w14:textId="77777777" w:rsidR="00A046DC"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3944" w:dyaOrig="9951" w14:anchorId="45C19786">
          <v:shape id="_x0000_i1028" type="#_x0000_t75" style="width:697.5pt;height:497.25pt" o:ole="">
            <v:imagedata r:id="rId16" o:title=""/>
            <o:lock v:ext="edit" aspectratio="f"/>
          </v:shape>
          <o:OLEObject Type="Embed" ProgID="Excel.Sheet.12" ShapeID="_x0000_i1028" DrawAspect="Content" ObjectID="_1722961871" r:id="rId17"/>
        </w:object>
      </w:r>
    </w:p>
    <w:p w14:paraId="69B02087" w14:textId="77777777" w:rsidR="00A046DC" w:rsidRDefault="00000000">
      <w:pPr>
        <w:rPr>
          <w:rFonts w:ascii="仿宋_GB2312" w:eastAsia="仿宋_GB2312" w:hAnsi="仿宋_GB2312" w:cs="仿宋_GB2312"/>
          <w:sz w:val="32"/>
          <w:szCs w:val="32"/>
        </w:rPr>
        <w:sectPr w:rsidR="00A046DC">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object w:dxaOrig="13735" w:dyaOrig="8833" w14:anchorId="2EDEB9DC">
          <v:shape id="_x0000_i1029" type="#_x0000_t75" style="width:687pt;height:441.75pt" o:ole="">
            <v:imagedata r:id="rId18" o:title=""/>
            <o:lock v:ext="edit" aspectratio="f"/>
          </v:shape>
          <o:OLEObject Type="Embed" ProgID="Excel.Sheet.12" ShapeID="_x0000_i1029" DrawAspect="Content" ObjectID="_1722961872" r:id="rId19"/>
        </w:object>
      </w:r>
    </w:p>
    <w:p w14:paraId="24DCD3E7" w14:textId="77777777" w:rsidR="00A046DC" w:rsidRDefault="00000000">
      <w:pPr>
        <w:rPr>
          <w:rFonts w:ascii="仿宋_GB2312" w:eastAsia="仿宋_GB2312" w:hAnsi="仿宋_GB2312" w:cs="仿宋_GB2312"/>
          <w:sz w:val="32"/>
          <w:szCs w:val="32"/>
        </w:rPr>
        <w:sectPr w:rsidR="00A046DC">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object w:dxaOrig="13948" w:dyaOrig="8165" w14:anchorId="318D0005">
          <v:shape id="_x0000_i1030" type="#_x0000_t75" style="width:697.5pt;height:408pt" o:ole="">
            <v:imagedata r:id="rId20" o:title=""/>
            <o:lock v:ext="edit" aspectratio="f"/>
          </v:shape>
          <o:OLEObject Type="Embed" ProgID="Excel.Sheet.12" ShapeID="_x0000_i1030" DrawAspect="Content" ObjectID="_1722961873" r:id="rId21"/>
        </w:object>
      </w:r>
    </w:p>
    <w:p w14:paraId="46BA1E3B" w14:textId="77777777" w:rsidR="00A046DC" w:rsidRDefault="00000000">
      <w:pPr>
        <w:rPr>
          <w:rFonts w:ascii="仿宋_GB2312" w:eastAsia="仿宋_GB2312" w:hAnsi="仿宋_GB2312" w:cs="仿宋_GB2312"/>
          <w:sz w:val="32"/>
          <w:szCs w:val="32"/>
        </w:rPr>
        <w:sectPr w:rsidR="00A046DC">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object w:dxaOrig="13954" w:dyaOrig="3588" w14:anchorId="09468428">
          <v:shape id="_x0000_i1031" type="#_x0000_t75" style="width:697.5pt;height:179.25pt" o:ole="">
            <v:imagedata r:id="rId22" o:title=""/>
            <o:lock v:ext="edit" aspectratio="f"/>
          </v:shape>
          <o:OLEObject Type="Embed" ProgID="Excel.Sheet.12" ShapeID="_x0000_i1031" DrawAspect="Content" ObjectID="_1722961874" r:id="rId23"/>
        </w:object>
      </w:r>
    </w:p>
    <w:p w14:paraId="6D26AB0D" w14:textId="77777777" w:rsidR="00A046DC"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3949" w:dyaOrig="4487" w14:anchorId="714898D1">
          <v:shape id="_x0000_i1032" type="#_x0000_t75" style="width:697.5pt;height:224.25pt" o:ole="">
            <v:imagedata r:id="rId24" o:title=""/>
            <o:lock v:ext="edit" aspectratio="f"/>
          </v:shape>
          <o:OLEObject Type="Embed" ProgID="Excel.Sheet.12" ShapeID="_x0000_i1032" DrawAspect="Content" ObjectID="_1722961875" r:id="rId25"/>
        </w:object>
      </w:r>
    </w:p>
    <w:p w14:paraId="7F7D07F5" w14:textId="77777777" w:rsidR="00A046DC" w:rsidRDefault="00000000">
      <w:pPr>
        <w:rPr>
          <w:rFonts w:ascii="仿宋_GB2312" w:eastAsia="仿宋_GB2312" w:hAnsi="仿宋_GB2312" w:cs="仿宋_GB2312"/>
          <w:sz w:val="32"/>
          <w:szCs w:val="32"/>
        </w:rPr>
        <w:sectPr w:rsidR="00A046DC">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t>说明：</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没有政府性基金收入，也没有使用政府性基金安排的支出，故本表无数据。</w:t>
      </w:r>
    </w:p>
    <w:p w14:paraId="7AA7341E" w14:textId="77777777" w:rsidR="00A046DC" w:rsidRDefault="00A046DC">
      <w:pPr>
        <w:widowControl/>
        <w:jc w:val="left"/>
        <w:rPr>
          <w:rFonts w:ascii="黑体" w:eastAsia="黑体" w:hAnsi="宋体" w:cs="宋体"/>
          <w:kern w:val="0"/>
          <w:sz w:val="28"/>
          <w:szCs w:val="28"/>
        </w:rPr>
      </w:pPr>
    </w:p>
    <w:p w14:paraId="7B875550" w14:textId="77777777" w:rsidR="00A046DC" w:rsidRDefault="00A046DC">
      <w:pPr>
        <w:widowControl/>
        <w:jc w:val="left"/>
        <w:rPr>
          <w:rFonts w:ascii="黑体" w:eastAsia="黑体" w:hAnsi="宋体" w:cs="宋体"/>
          <w:kern w:val="0"/>
          <w:sz w:val="28"/>
          <w:szCs w:val="28"/>
        </w:rPr>
      </w:pPr>
    </w:p>
    <w:p w14:paraId="11E0C5FE" w14:textId="77777777" w:rsidR="00A046DC" w:rsidRDefault="00A046DC">
      <w:pPr>
        <w:widowControl/>
        <w:jc w:val="left"/>
        <w:rPr>
          <w:rFonts w:ascii="黑体" w:eastAsia="黑体" w:hAnsi="宋体" w:cs="宋体"/>
          <w:kern w:val="0"/>
          <w:sz w:val="28"/>
          <w:szCs w:val="28"/>
        </w:rPr>
      </w:pPr>
    </w:p>
    <w:p w14:paraId="77185259" w14:textId="77777777" w:rsidR="00A046DC" w:rsidRDefault="00A046DC">
      <w:pPr>
        <w:widowControl/>
        <w:jc w:val="left"/>
        <w:rPr>
          <w:rFonts w:ascii="黑体" w:eastAsia="黑体" w:hAnsi="宋体" w:cs="宋体"/>
          <w:kern w:val="0"/>
          <w:sz w:val="28"/>
          <w:szCs w:val="28"/>
        </w:rPr>
      </w:pPr>
    </w:p>
    <w:p w14:paraId="7B1C1F8F" w14:textId="77777777" w:rsidR="00A046DC" w:rsidRDefault="00A046DC">
      <w:pPr>
        <w:widowControl/>
        <w:jc w:val="left"/>
        <w:rPr>
          <w:rFonts w:ascii="黑体" w:eastAsia="黑体" w:hAnsi="宋体" w:cs="宋体"/>
          <w:kern w:val="0"/>
          <w:sz w:val="28"/>
          <w:szCs w:val="28"/>
        </w:rPr>
      </w:pPr>
    </w:p>
    <w:p w14:paraId="00F39B47" w14:textId="77777777" w:rsidR="00A046DC" w:rsidRDefault="00A046DC">
      <w:pPr>
        <w:widowControl/>
        <w:jc w:val="left"/>
        <w:rPr>
          <w:rFonts w:ascii="黑体" w:eastAsia="黑体" w:hAnsi="宋体" w:cs="宋体"/>
          <w:kern w:val="0"/>
          <w:sz w:val="28"/>
          <w:szCs w:val="28"/>
        </w:rPr>
      </w:pPr>
    </w:p>
    <w:p w14:paraId="1C989CAE" w14:textId="77777777" w:rsidR="00A046DC" w:rsidRDefault="00A046DC">
      <w:pPr>
        <w:widowControl/>
        <w:jc w:val="left"/>
        <w:rPr>
          <w:rFonts w:ascii="黑体" w:eastAsia="黑体" w:hAnsi="宋体" w:cs="宋体"/>
          <w:kern w:val="0"/>
          <w:sz w:val="28"/>
          <w:szCs w:val="28"/>
        </w:rPr>
      </w:pPr>
    </w:p>
    <w:p w14:paraId="25BF874C" w14:textId="77777777" w:rsidR="00A046DC"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2020年度部门决算情况说明</w:t>
      </w:r>
    </w:p>
    <w:p w14:paraId="3FB6238C" w14:textId="77777777" w:rsidR="00A046DC" w:rsidRDefault="00A046DC">
      <w:pPr>
        <w:widowControl/>
        <w:jc w:val="left"/>
        <w:rPr>
          <w:rFonts w:ascii="黑体" w:eastAsia="黑体" w:hAnsi="黑体" w:cs="黑体"/>
          <w:sz w:val="48"/>
          <w:szCs w:val="48"/>
        </w:rPr>
        <w:sectPr w:rsidR="00A046DC">
          <w:pgSz w:w="11906" w:h="16838"/>
          <w:pgMar w:top="1440" w:right="1800" w:bottom="1440" w:left="1800" w:header="720" w:footer="720" w:gutter="0"/>
          <w:pgNumType w:fmt="numberInDash"/>
          <w:cols w:space="720"/>
          <w:docGrid w:type="lines" w:linePitch="312"/>
        </w:sectPr>
      </w:pPr>
    </w:p>
    <w:p w14:paraId="497E8524"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14:paraId="15C69EFB"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收入4062.52万元，与上年度相比，收入增加361.21万元，增长9.76%。主要原因是2020年追加了项目经费。2020年度支出3847.86万元，与上年度相比，收入增加246.28万元，增长6.84%。主要原因是2020年追加了项目经费支出。</w:t>
      </w:r>
    </w:p>
    <w:p w14:paraId="7FCDC20B"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14:paraId="139A2F69" w14:textId="77777777" w:rsidR="00A046DC" w:rsidRDefault="00000000">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2020年度收入合计4062.52万元，其中：财政拨款收入4058.15万元，占99.89%；其他收入4.37万元，占0.11%。</w:t>
      </w:r>
    </w:p>
    <w:p w14:paraId="1D199C19"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14:paraId="7A863376"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2020年度支出合计3847.86万元，其中：基本支出3056.15万元，占79.42%；项目支出791.71万元，占20.58%。</w:t>
      </w:r>
    </w:p>
    <w:p w14:paraId="0971218B"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14:paraId="542085B8"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财政拨款收入4058.15万元，与上年度相比，财政拨款收入增加360.27万元，增长9.72%。主要原因是2020年追加了项目经费。2020年度财政拨款支出3847.86万元，与上年度相比，财政拨款支出增加275.44万元，增长7.71%。主要原因是2020年追加了项目经费支出。</w:t>
      </w:r>
    </w:p>
    <w:p w14:paraId="7EB6D4D5"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14:paraId="470FEC49" w14:textId="77777777" w:rsidR="00A046DC"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14:paraId="48E87E91"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2020年度一般公共预算财政拨款支出3822.7万元，占本年支出合计的99.35%。与上年度相比，一般公共预算财政</w:t>
      </w:r>
      <w:r>
        <w:rPr>
          <w:rFonts w:ascii="仿宋_GB2312" w:eastAsia="仿宋_GB2312" w:hAnsi="仿宋_GB2312" w:cs="仿宋_GB2312" w:hint="eastAsia"/>
          <w:sz w:val="32"/>
          <w:szCs w:val="32"/>
        </w:rPr>
        <w:lastRenderedPageBreak/>
        <w:t>拨款支出增加250.28万元，增长7%。主要原因是2020年追加了项目经费。</w:t>
      </w:r>
    </w:p>
    <w:p w14:paraId="1A4C568C" w14:textId="77777777" w:rsidR="00A046DC"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14:paraId="7DA0F27A"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3822.7万元，主要用于以下方面：一般公共服务（类）支出3009.98万元，占78.74%；社会保障和就业（类）支出421.41万元，占11.02%；卫生健康（类）支出168.11万元，占4.40%；节能环保（类）支出44.7万元，占1.17%；资源勘探工业信息等支出（类）支出0.3万元，占0%；住房保障（类）支出178.2万元，占4.67%；。</w:t>
      </w:r>
    </w:p>
    <w:p w14:paraId="22832650" w14:textId="77777777" w:rsidR="00A046DC"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14:paraId="1C61856F"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2020年度一般公共预算财政拨款支出年初预算为4045.36万元，支出决算为3822.7万元，完成年初预算的94.50%。其中：</w:t>
      </w:r>
    </w:p>
    <w:p w14:paraId="6448B9E8"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1．一般公共服务（类）群众团体事务（款）工会事务（项）。</w:t>
      </w:r>
      <w:r>
        <w:rPr>
          <w:rFonts w:ascii="仿宋_GB2312" w:eastAsia="仿宋_GB2312" w:hAnsi="仿宋_GB2312" w:cs="仿宋_GB2312" w:hint="eastAsia"/>
          <w:sz w:val="32"/>
          <w:szCs w:val="32"/>
        </w:rPr>
        <w:t>年初预算为24.18万元，支出决算为14.51万元，完成年初预算的60%。决算数与年初预算数存在差异的主要原因是工会经费40%直接上缴上级工会。</w:t>
      </w:r>
    </w:p>
    <w:p w14:paraId="5510D72A"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2．一般公共服务（类）市场监督管理事务（款）行政运行（项）。</w:t>
      </w:r>
      <w:r>
        <w:rPr>
          <w:rFonts w:ascii="仿宋_GB2312" w:eastAsia="仿宋_GB2312" w:hAnsi="仿宋_GB2312" w:cs="仿宋_GB2312" w:hint="eastAsia"/>
          <w:sz w:val="32"/>
          <w:szCs w:val="32"/>
        </w:rPr>
        <w:t>年初预算为2487.05万元，支出决算为2261.7万元，完成年初预算的90.94%。决算数与年初预算数存在差异的主要原因是年终支付中心提前封账，部分人员经费未支付成功。</w:t>
      </w:r>
    </w:p>
    <w:p w14:paraId="021B56F4"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b/>
          <w:bCs/>
          <w:sz w:val="32"/>
          <w:szCs w:val="32"/>
        </w:rPr>
        <w:t>一般公共服务（类）市场监督管理事务（款）一般行政管理事务（项）。</w:t>
      </w:r>
      <w:r>
        <w:rPr>
          <w:rFonts w:ascii="仿宋_GB2312" w:eastAsia="仿宋_GB2312" w:hAnsi="仿宋_GB2312" w:cs="仿宋_GB2312" w:hint="eastAsia"/>
          <w:sz w:val="32"/>
          <w:szCs w:val="32"/>
        </w:rPr>
        <w:t>年初预算为303.2万元，支出决算为262.89万元，完成年初预算的86.71%。决算数与年初预算数存在差异的主要原因是年终支付中心提前封账，该项经费未支付成功。</w:t>
      </w:r>
    </w:p>
    <w:p w14:paraId="6DE3894F"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
          <w:bCs/>
          <w:sz w:val="32"/>
          <w:szCs w:val="32"/>
        </w:rPr>
        <w:t>一般公共服务（类）市场监督管理事务（款）市场主体管理（项）。</w:t>
      </w:r>
      <w:r>
        <w:rPr>
          <w:rFonts w:ascii="仿宋_GB2312" w:eastAsia="仿宋_GB2312" w:hAnsi="仿宋_GB2312" w:cs="仿宋_GB2312" w:hint="eastAsia"/>
          <w:sz w:val="32"/>
          <w:szCs w:val="32"/>
        </w:rPr>
        <w:t>年初预算为80万元，支出决算为164.84万元，完成年初预算的206.05%。决算数与年初预算数存在差异的主要原因是上年结转商品抽检经费83.63万元，各类市场主体登记经费1.21万元。</w:t>
      </w:r>
    </w:p>
    <w:p w14:paraId="4D177E28"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5.一般公共服务（类）市场监督管理事务（款）市场秩序执法（项）。</w:t>
      </w:r>
      <w:r>
        <w:rPr>
          <w:rFonts w:ascii="仿宋_GB2312" w:eastAsia="仿宋_GB2312" w:hAnsi="仿宋_GB2312" w:cs="仿宋_GB2312" w:hint="eastAsia"/>
          <w:sz w:val="32"/>
          <w:szCs w:val="32"/>
        </w:rPr>
        <w:t>年初预算为113万元，支出决算为90.42万元，完成年初预算的80.01%。决算数与年初预算数存在差异的主要原因是2020年市场监管执法经费预算压减17万元、12315手里维权及宣传经费预算压减5.58万元。</w:t>
      </w:r>
    </w:p>
    <w:p w14:paraId="194FA903"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6.一般公共服务（类）市场监督管理事务（款）质量安全监管（项）。</w:t>
      </w:r>
      <w:r>
        <w:rPr>
          <w:rFonts w:ascii="仿宋_GB2312" w:eastAsia="仿宋_GB2312" w:hAnsi="仿宋_GB2312" w:cs="仿宋_GB2312" w:hint="eastAsia"/>
          <w:sz w:val="32"/>
          <w:szCs w:val="32"/>
        </w:rPr>
        <w:t>年初预算为71.8万元，支出决算为51.8万元，完成年初预算的72.14%。决算数与年初预算数存在差异的主要原因是2020年流通领域商品质量监管经费预算压减20万元。</w:t>
      </w:r>
    </w:p>
    <w:p w14:paraId="2013A1D2"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7.一般公共服务（类）市场监督管理事务（款）食品安全监管（项）。</w:t>
      </w:r>
      <w:r>
        <w:rPr>
          <w:rFonts w:ascii="仿宋_GB2312" w:eastAsia="仿宋_GB2312" w:hAnsi="仿宋_GB2312" w:cs="仿宋_GB2312" w:hint="eastAsia"/>
          <w:sz w:val="32"/>
          <w:szCs w:val="32"/>
        </w:rPr>
        <w:t>年初预算为120万元，支出决算为163.82万</w:t>
      </w:r>
      <w:r>
        <w:rPr>
          <w:rFonts w:ascii="仿宋_GB2312" w:eastAsia="仿宋_GB2312" w:hAnsi="仿宋_GB2312" w:cs="仿宋_GB2312" w:hint="eastAsia"/>
          <w:sz w:val="32"/>
          <w:szCs w:val="32"/>
        </w:rPr>
        <w:lastRenderedPageBreak/>
        <w:t>元，完成年初预算的136.52%。决算数与年初预算数存在差异的主要原因是2020年追加了食品快检车专项经费。</w:t>
      </w:r>
    </w:p>
    <w:p w14:paraId="2C33C4F0"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8.社会保障和就业支出（类）行政事业单位养老支出（款）行政单位离退休（项）。</w:t>
      </w:r>
      <w:r>
        <w:rPr>
          <w:rFonts w:ascii="仿宋_GB2312" w:eastAsia="仿宋_GB2312" w:hAnsi="仿宋_GB2312" w:cs="仿宋_GB2312" w:hint="eastAsia"/>
          <w:sz w:val="32"/>
          <w:szCs w:val="32"/>
        </w:rPr>
        <w:t>年初预算为285.74万元，支出决算为200.76万元，完成年初预算的70.26%。决算数与年初预算数存在差异的主要原因是年终支付中心提前封账，该项经费未支付成功。</w:t>
      </w:r>
    </w:p>
    <w:p w14:paraId="5917083F"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9.社会保障和就业支出（类）行政事业单位养老支出（款）行政事业单位基本养老保险缴费支出（项）。</w:t>
      </w:r>
      <w:r>
        <w:rPr>
          <w:rFonts w:ascii="仿宋_GB2312" w:eastAsia="仿宋_GB2312" w:hAnsi="仿宋_GB2312" w:cs="仿宋_GB2312" w:hint="eastAsia"/>
          <w:sz w:val="32"/>
          <w:szCs w:val="32"/>
        </w:rPr>
        <w:t>年初预算为216.4万元，支出决算为216.4万元，完成年初预算的100%。决算数与年初</w:t>
      </w:r>
      <w:proofErr w:type="gramStart"/>
      <w:r>
        <w:rPr>
          <w:rFonts w:ascii="仿宋_GB2312" w:eastAsia="仿宋_GB2312" w:hAnsi="仿宋_GB2312" w:cs="仿宋_GB2312" w:hint="eastAsia"/>
          <w:sz w:val="32"/>
          <w:szCs w:val="32"/>
        </w:rPr>
        <w:t>预算数无差异</w:t>
      </w:r>
      <w:proofErr w:type="gramEnd"/>
      <w:r>
        <w:rPr>
          <w:rFonts w:ascii="仿宋_GB2312" w:eastAsia="仿宋_GB2312" w:hAnsi="仿宋_GB2312" w:cs="仿宋_GB2312" w:hint="eastAsia"/>
          <w:sz w:val="32"/>
          <w:szCs w:val="32"/>
        </w:rPr>
        <w:t>。</w:t>
      </w:r>
    </w:p>
    <w:p w14:paraId="63A449A7"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10.社会保障和就业支出（类）抚恤（款）死亡抚恤（项）。</w:t>
      </w:r>
      <w:r>
        <w:rPr>
          <w:rFonts w:ascii="仿宋_GB2312" w:eastAsia="仿宋_GB2312" w:hAnsi="仿宋_GB2312" w:cs="仿宋_GB2312" w:hint="eastAsia"/>
          <w:sz w:val="32"/>
          <w:szCs w:val="32"/>
        </w:rPr>
        <w:t>年初预算为5.68万元，支出决算为4.26万元，完成年初预算的75%。决算数与年初预算数存在差异的主要原因是抚恤标准减低。</w:t>
      </w:r>
    </w:p>
    <w:p w14:paraId="30AA73AB"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11.卫生健康支出（类）行政事业单位医疗（款）行政单位医疗（项）。</w:t>
      </w:r>
      <w:r>
        <w:rPr>
          <w:rFonts w:ascii="仿宋_GB2312" w:eastAsia="仿宋_GB2312" w:hAnsi="仿宋_GB2312" w:cs="仿宋_GB2312" w:hint="eastAsia"/>
          <w:sz w:val="32"/>
          <w:szCs w:val="32"/>
        </w:rPr>
        <w:t>年初预算为149.49万元，支出决算为168.11万元，完成年初预算的112.46%。决算数与年初预算数存在差异的主要原因是2020年社保在市社保系统参保，缴费项目中包含公务员医疗补助。</w:t>
      </w:r>
    </w:p>
    <w:p w14:paraId="16244575"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12.节能环保支出（类）污染防治（款）大气（项）。</w:t>
      </w:r>
      <w:r>
        <w:rPr>
          <w:rFonts w:ascii="仿宋_GB2312" w:eastAsia="仿宋_GB2312" w:hAnsi="仿宋_GB2312" w:cs="仿宋_GB2312" w:hint="eastAsia"/>
          <w:sz w:val="32"/>
          <w:szCs w:val="32"/>
        </w:rPr>
        <w:t>年初预算为0万元，支出决算为44.7万元，该项目为追加经</w:t>
      </w:r>
      <w:r>
        <w:rPr>
          <w:rFonts w:ascii="仿宋_GB2312" w:eastAsia="仿宋_GB2312" w:hAnsi="仿宋_GB2312" w:cs="仿宋_GB2312" w:hint="eastAsia"/>
          <w:sz w:val="32"/>
          <w:szCs w:val="32"/>
        </w:rPr>
        <w:lastRenderedPageBreak/>
        <w:t>费项目，2020年</w:t>
      </w:r>
      <w:r>
        <w:rPr>
          <w:rFonts w:ascii="华文仿宋" w:eastAsia="华文仿宋" w:hAnsi="华文仿宋" w:cs="仿宋_GB2312" w:hint="eastAsia"/>
          <w:sz w:val="32"/>
          <w:szCs w:val="32"/>
        </w:rPr>
        <w:t>经费支出无预算数，决算数与年初</w:t>
      </w:r>
      <w:proofErr w:type="gramStart"/>
      <w:r>
        <w:rPr>
          <w:rFonts w:ascii="华文仿宋" w:eastAsia="华文仿宋" w:hAnsi="华文仿宋" w:cs="仿宋_GB2312" w:hint="eastAsia"/>
          <w:sz w:val="32"/>
          <w:szCs w:val="32"/>
        </w:rPr>
        <w:t>预算数无差异</w:t>
      </w:r>
      <w:proofErr w:type="gramEnd"/>
      <w:r>
        <w:rPr>
          <w:rFonts w:ascii="华文仿宋" w:eastAsia="华文仿宋" w:hAnsi="华文仿宋" w:cs="仿宋_GB2312" w:hint="eastAsia"/>
          <w:sz w:val="32"/>
          <w:szCs w:val="32"/>
        </w:rPr>
        <w:t>。</w:t>
      </w:r>
    </w:p>
    <w:p w14:paraId="08896748"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13.资源勘探工业信息支出（类）支持中小企业发展和管理（款）其他支持中小企业发展和管理（项）。</w:t>
      </w:r>
      <w:r>
        <w:rPr>
          <w:rFonts w:ascii="仿宋_GB2312" w:eastAsia="仿宋_GB2312" w:hAnsi="仿宋_GB2312" w:cs="仿宋_GB2312" w:hint="eastAsia"/>
          <w:sz w:val="32"/>
          <w:szCs w:val="32"/>
        </w:rPr>
        <w:t>年初预算为0万元，支出决算为0.3万元，该项目为追加经费项目，2020年</w:t>
      </w:r>
      <w:r>
        <w:rPr>
          <w:rFonts w:ascii="华文仿宋" w:eastAsia="华文仿宋" w:hAnsi="华文仿宋" w:cs="仿宋_GB2312" w:hint="eastAsia"/>
          <w:sz w:val="32"/>
          <w:szCs w:val="32"/>
        </w:rPr>
        <w:t>经费支出无预算数，决算数与年初</w:t>
      </w:r>
      <w:proofErr w:type="gramStart"/>
      <w:r>
        <w:rPr>
          <w:rFonts w:ascii="华文仿宋" w:eastAsia="华文仿宋" w:hAnsi="华文仿宋" w:cs="仿宋_GB2312" w:hint="eastAsia"/>
          <w:sz w:val="32"/>
          <w:szCs w:val="32"/>
        </w:rPr>
        <w:t>预算数无差异</w:t>
      </w:r>
      <w:proofErr w:type="gramEnd"/>
      <w:r>
        <w:rPr>
          <w:rFonts w:ascii="华文仿宋" w:eastAsia="华文仿宋" w:hAnsi="华文仿宋" w:cs="仿宋_GB2312" w:hint="eastAsia"/>
          <w:sz w:val="32"/>
          <w:szCs w:val="32"/>
        </w:rPr>
        <w:t>。</w:t>
      </w:r>
    </w:p>
    <w:p w14:paraId="1A4BFD77"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14.住房保障支出（类）住房改革支出（款）住房公积金（项）。</w:t>
      </w:r>
      <w:r>
        <w:rPr>
          <w:rFonts w:ascii="仿宋_GB2312" w:eastAsia="仿宋_GB2312" w:hAnsi="仿宋_GB2312" w:cs="仿宋_GB2312" w:hint="eastAsia"/>
          <w:sz w:val="32"/>
          <w:szCs w:val="32"/>
        </w:rPr>
        <w:t>年初预算为188.82万元，支出决算为178.2万元，完成年初预算的94.38%。决算数与年初预算数存在差异的主要原因是2020年在职人员退休，导致住房公积金缴纳金额减少。</w:t>
      </w:r>
    </w:p>
    <w:p w14:paraId="70477C91"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14:paraId="0182CBAD"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基本支出3043.93万元。与上年度相比，减少114.18万元，下降3.62%，主要原因：年终支付中心提前封账，部分经费未支付成功。其中：人员经费2680.69.万元，主要包括：基本工资、津贴补贴、奖金、伙食补助费、绩效工资、机关事业单位基本养老保险缴费、职业年金缴费、职工基本医疗保险缴费、公务员医疗补助缴费、其他社会保障缴费、住房公积金、其他工资福利支出、退休费、生活补助；公用经费158.22万元，主要包括：办公费、印刷费、水费、电费、邮电费、物业管理费、差旅费、公务接待费、劳务费、委托业务费、工会经费、福利费、其他交通费用、其他商品和服务支出。</w:t>
      </w:r>
    </w:p>
    <w:p w14:paraId="11CC6F36"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七、一般公共预算财政拨款“三公”经费支出决算情况说明</w:t>
      </w:r>
    </w:p>
    <w:p w14:paraId="6AD32968" w14:textId="77777777" w:rsidR="00A046DC"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14:paraId="41E8685D"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2020年度“三公”经费财政拨款支出预算为11万元，支出决算为7.35万元，完成预算的66.82%。2020年度“三公”经费支出决算数与预算数存在差异的主要原因是三</w:t>
      </w:r>
      <w:proofErr w:type="gramStart"/>
      <w:r>
        <w:rPr>
          <w:rFonts w:ascii="仿宋_GB2312" w:eastAsia="仿宋_GB2312" w:hAnsi="仿宋_GB2312" w:cs="仿宋_GB2312" w:hint="eastAsia"/>
          <w:sz w:val="32"/>
          <w:szCs w:val="32"/>
        </w:rPr>
        <w:t>公经费</w:t>
      </w:r>
      <w:proofErr w:type="gramEnd"/>
      <w:r>
        <w:rPr>
          <w:rFonts w:ascii="仿宋_GB2312" w:eastAsia="仿宋_GB2312" w:hAnsi="仿宋_GB2312" w:cs="仿宋_GB2312" w:hint="eastAsia"/>
          <w:sz w:val="32"/>
          <w:szCs w:val="32"/>
        </w:rPr>
        <w:t>预算压减。</w:t>
      </w:r>
    </w:p>
    <w:p w14:paraId="0BF89779" w14:textId="77777777" w:rsidR="00A046DC" w:rsidRDefault="00000000">
      <w:pPr>
        <w:widowControl/>
        <w:spacing w:line="590" w:lineRule="exact"/>
        <w:ind w:firstLineChars="200" w:firstLine="643"/>
        <w:outlineLvl w:val="2"/>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（二）“三公”经费财政拨款支出决算具体情况说明。</w:t>
      </w:r>
    </w:p>
    <w:p w14:paraId="5AD7AEB5"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决算中，因公出国（境）费支出决算0万元，占0%；公务用车购置及运行费支出决算7.29万元，完成预算的81%，占99.18%；公务接待费支出决算0.07万元，完成预算的3.5%，占0.9%。具体情况如下：</w:t>
      </w:r>
    </w:p>
    <w:p w14:paraId="1F5646F9"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预算为0万元，支出决算为0万元，完成预算的0%。</w:t>
      </w:r>
    </w:p>
    <w:p w14:paraId="4BED838A"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预算为9万元，支出决算为7.29万元，完成预算的81%。决算数与预算数存在差异的主要原因是三</w:t>
      </w:r>
      <w:proofErr w:type="gramStart"/>
      <w:r>
        <w:rPr>
          <w:rFonts w:ascii="仿宋_GB2312" w:eastAsia="仿宋_GB2312" w:hAnsi="仿宋_GB2312" w:cs="仿宋_GB2312" w:hint="eastAsia"/>
          <w:sz w:val="32"/>
          <w:szCs w:val="32"/>
        </w:rPr>
        <w:t>公经费</w:t>
      </w:r>
      <w:proofErr w:type="gramEnd"/>
      <w:r>
        <w:rPr>
          <w:rFonts w:ascii="仿宋_GB2312" w:eastAsia="仿宋_GB2312" w:hAnsi="仿宋_GB2312" w:cs="仿宋_GB2312" w:hint="eastAsia"/>
          <w:sz w:val="32"/>
          <w:szCs w:val="32"/>
        </w:rPr>
        <w:t>预算压减。其中：</w:t>
      </w:r>
    </w:p>
    <w:p w14:paraId="71DC311A"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w:t>
      </w:r>
    </w:p>
    <w:p w14:paraId="2754A8D5" w14:textId="77777777" w:rsidR="00A046DC" w:rsidRDefault="00000000">
      <w:pPr>
        <w:widowControl/>
        <w:spacing w:line="590" w:lineRule="exact"/>
        <w:ind w:firstLineChars="200" w:firstLine="643"/>
        <w:rPr>
          <w:rFonts w:ascii="华文仿宋" w:eastAsia="华文仿宋" w:hAnsi="华文仿宋"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7.29万元。</w:t>
      </w:r>
      <w:r>
        <w:rPr>
          <w:rFonts w:ascii="华文仿宋" w:eastAsia="华文仿宋" w:hAnsi="华文仿宋" w:cs="仿宋_GB2312" w:hint="eastAsia"/>
          <w:sz w:val="32"/>
          <w:szCs w:val="32"/>
        </w:rPr>
        <w:t>主要用于单位公务车辆的维修、燃油、保险等费用。</w:t>
      </w:r>
      <w:r>
        <w:rPr>
          <w:rFonts w:ascii="仿宋_GB2312" w:eastAsia="仿宋_GB2312" w:hAnsi="仿宋_GB2312" w:cs="仿宋_GB2312" w:hint="eastAsia"/>
          <w:sz w:val="32"/>
          <w:szCs w:val="32"/>
        </w:rPr>
        <w:t>2020年期末，部门开支财政拨款的公务用车</w:t>
      </w:r>
      <w:r>
        <w:rPr>
          <w:rFonts w:ascii="华文仿宋" w:eastAsia="华文仿宋" w:hAnsi="华文仿宋" w:cs="仿宋_GB2312" w:hint="eastAsia"/>
          <w:sz w:val="32"/>
          <w:szCs w:val="32"/>
        </w:rPr>
        <w:t>保有量为26辆。</w:t>
      </w:r>
    </w:p>
    <w:p w14:paraId="75DDCCEA"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华文仿宋" w:eastAsia="华文仿宋" w:hAnsi="华文仿宋" w:cs="仿宋_GB2312" w:hint="eastAsia"/>
          <w:sz w:val="32"/>
          <w:szCs w:val="32"/>
        </w:rPr>
        <w:lastRenderedPageBreak/>
        <w:t>公务用车购置及运行费</w:t>
      </w:r>
      <w:r>
        <w:rPr>
          <w:rFonts w:ascii="仿宋_GB2312" w:eastAsia="仿宋_GB2312" w:hAnsi="仿宋_GB2312" w:cs="仿宋_GB2312" w:hint="eastAsia"/>
          <w:sz w:val="32"/>
          <w:szCs w:val="32"/>
        </w:rPr>
        <w:t>支出决算比上年度减少19.02万元，下降72.29%,主要原因是三</w:t>
      </w:r>
      <w:proofErr w:type="gramStart"/>
      <w:r>
        <w:rPr>
          <w:rFonts w:ascii="仿宋_GB2312" w:eastAsia="仿宋_GB2312" w:hAnsi="仿宋_GB2312" w:cs="仿宋_GB2312" w:hint="eastAsia"/>
          <w:sz w:val="32"/>
          <w:szCs w:val="32"/>
        </w:rPr>
        <w:t>公经费</w:t>
      </w:r>
      <w:proofErr w:type="gramEnd"/>
      <w:r>
        <w:rPr>
          <w:rFonts w:ascii="仿宋_GB2312" w:eastAsia="仿宋_GB2312" w:hAnsi="仿宋_GB2312" w:cs="仿宋_GB2312" w:hint="eastAsia"/>
          <w:sz w:val="32"/>
          <w:szCs w:val="32"/>
        </w:rPr>
        <w:t>预算压减。</w:t>
      </w:r>
    </w:p>
    <w:p w14:paraId="590B2F88"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预算为2万元，支出决算为0.07万元，完成预算的3.5%。决算数与预算数存在差异的主要原因是三</w:t>
      </w:r>
      <w:proofErr w:type="gramStart"/>
      <w:r>
        <w:rPr>
          <w:rFonts w:ascii="仿宋_GB2312" w:eastAsia="仿宋_GB2312" w:hAnsi="仿宋_GB2312" w:cs="仿宋_GB2312" w:hint="eastAsia"/>
          <w:sz w:val="32"/>
          <w:szCs w:val="32"/>
        </w:rPr>
        <w:t>公经费</w:t>
      </w:r>
      <w:proofErr w:type="gramEnd"/>
      <w:r>
        <w:rPr>
          <w:rFonts w:ascii="仿宋_GB2312" w:eastAsia="仿宋_GB2312" w:hAnsi="仿宋_GB2312" w:cs="仿宋_GB2312" w:hint="eastAsia"/>
          <w:sz w:val="32"/>
          <w:szCs w:val="32"/>
        </w:rPr>
        <w:t>预算压减。其中：</w:t>
      </w:r>
    </w:p>
    <w:p w14:paraId="1D2B5E6F"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w:t>
      </w:r>
    </w:p>
    <w:p w14:paraId="23D27CA0" w14:textId="77777777" w:rsidR="00A046DC"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0.07万元。主要用于公务接待餐费支出。2020年共接待国内来访团组1个、来宾10人次（不包括陪同人员）。</w:t>
      </w:r>
    </w:p>
    <w:p w14:paraId="5D03D7B8"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公务接待费支出决算比上年度增加0.07万元，主要原因是2019年未发生公务接待支出，2020年接待1个国内来访团组，支出650元。</w:t>
      </w:r>
    </w:p>
    <w:p w14:paraId="7777A6A0"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14:paraId="444040D6" w14:textId="77777777" w:rsidR="00A046DC"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14:paraId="70041D31"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2020年，我部门（单位）纳入预算绩效管理的支出总额为3847.86万元，其中人员经费支出2885.71万元，公用经费支出170.44万元；支出项目共15个，支出金额791.71万元。其中，进行项目绩效自评15个，自评金额791.71万元；纳入重点绩效评价（部门评价或财政评价）1个，评价金额90.49万元。</w:t>
      </w:r>
    </w:p>
    <w:p w14:paraId="68E0DDA1" w14:textId="77777777" w:rsidR="00A046DC"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14:paraId="15A35B02" w14:textId="77777777" w:rsidR="00A046DC" w:rsidRDefault="00000000">
      <w:pPr>
        <w:ind w:firstLineChars="200" w:firstLine="640"/>
        <w:jc w:val="left"/>
        <w:rPr>
          <w:rFonts w:ascii="仿宋_GB2312" w:eastAsia="仿宋_GB2312" w:hAnsi="仿宋_GB2312" w:cs="仿宋_GB2312"/>
          <w:sz w:val="32"/>
          <w:szCs w:val="32"/>
        </w:rPr>
      </w:pPr>
      <w:r>
        <w:rPr>
          <w:rFonts w:ascii="仿宋" w:eastAsia="仿宋" w:hAnsi="仿宋" w:cs="宋体" w:hint="eastAsia"/>
          <w:sz w:val="32"/>
          <w:szCs w:val="32"/>
        </w:rPr>
        <w:t>2020年度经费严格控制在预算范围之内，保障各项工作正常、有序运转；进一步提升单位管理水平。评价等级：优</w:t>
      </w:r>
      <w:r>
        <w:rPr>
          <w:rFonts w:ascii="仿宋" w:eastAsia="仿宋" w:hAnsi="仿宋" w:cs="宋体" w:hint="eastAsia"/>
          <w:sz w:val="32"/>
          <w:szCs w:val="32"/>
        </w:rPr>
        <w:lastRenderedPageBreak/>
        <w:t>秀。</w:t>
      </w:r>
    </w:p>
    <w:p w14:paraId="36E71652" w14:textId="77777777" w:rsidR="00A046DC"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14:paraId="5A502346" w14:textId="77777777" w:rsidR="00A046DC" w:rsidRDefault="00000000">
      <w:pPr>
        <w:ind w:firstLineChars="200" w:firstLine="640"/>
        <w:jc w:val="left"/>
        <w:rPr>
          <w:rFonts w:ascii="仿宋_GB2312" w:eastAsia="仿宋_GB2312" w:hAnsi="仿宋_GB2312" w:cs="仿宋_GB2312"/>
          <w:sz w:val="32"/>
          <w:szCs w:val="32"/>
        </w:rPr>
      </w:pPr>
      <w:r>
        <w:rPr>
          <w:rFonts w:ascii="仿宋" w:eastAsia="仿宋" w:hAnsi="仿宋" w:hint="eastAsia"/>
          <w:sz w:val="32"/>
          <w:szCs w:val="32"/>
        </w:rPr>
        <w:t>项目立项程序完整、规范，预算执行及时、有效，为上级有关部门决策提供了较为有力的支撑，绩效目标得到较好实现，绩效管理水平不断提高，</w:t>
      </w:r>
      <w:r>
        <w:rPr>
          <w:rFonts w:ascii="仿宋" w:eastAsia="仿宋" w:hAnsi="仿宋" w:cs="宋体" w:hint="eastAsia"/>
          <w:sz w:val="32"/>
          <w:szCs w:val="32"/>
        </w:rPr>
        <w:t>评价等级：优秀。</w:t>
      </w:r>
    </w:p>
    <w:p w14:paraId="4F662C50"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14:paraId="1DBEEAE2" w14:textId="77777777" w:rsidR="00A046DC" w:rsidRDefault="00000000">
      <w:pPr>
        <w:widowControl/>
        <w:spacing w:line="590" w:lineRule="exact"/>
        <w:ind w:firstLineChars="200" w:firstLine="640"/>
        <w:rPr>
          <w:rFonts w:ascii="华文仿宋" w:eastAsia="华文仿宋" w:hAnsi="华文仿宋" w:cs="仿宋_GB2312"/>
          <w:sz w:val="32"/>
          <w:szCs w:val="32"/>
        </w:rPr>
      </w:pPr>
      <w:proofErr w:type="gramStart"/>
      <w:r>
        <w:rPr>
          <w:rFonts w:ascii="华文仿宋" w:eastAsia="华文仿宋" w:hAnsi="华文仿宋" w:hint="eastAsia"/>
          <w:sz w:val="32"/>
          <w:szCs w:val="32"/>
        </w:rPr>
        <w:t>我部门</w:t>
      </w:r>
      <w:proofErr w:type="gramEnd"/>
      <w:r>
        <w:rPr>
          <w:rFonts w:ascii="华文仿宋" w:eastAsia="华文仿宋" w:hAnsi="华文仿宋" w:hint="eastAsia"/>
          <w:sz w:val="32"/>
          <w:szCs w:val="32"/>
        </w:rPr>
        <w:t>2020年度没有政府性基金收入，也没有使用政府性基金安排的支出。</w:t>
      </w:r>
    </w:p>
    <w:p w14:paraId="40459035"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14:paraId="47BA0C42" w14:textId="77777777" w:rsidR="00A046DC" w:rsidRDefault="00000000">
      <w:pPr>
        <w:widowControl/>
        <w:spacing w:line="59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2020年度机关运行经费年初预算为230.8万元，支出决算为260.5万元，完成年初预算的112.87%。决算数与年初预算数存在差异的主要原因是办公费和物业管理费增加。</w:t>
      </w:r>
    </w:p>
    <w:p w14:paraId="477512FF" w14:textId="77777777" w:rsidR="00A046DC" w:rsidRDefault="00000000">
      <w:pPr>
        <w:widowControl/>
        <w:spacing w:line="59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2020年度机关运行经费支出260.5万元，较上年度增加39.21万元，增长17.72%。增加（减少）的主要原因是：办公费和物业管理费增加。</w:t>
      </w:r>
    </w:p>
    <w:p w14:paraId="7166A45D"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14:paraId="09BC7AED" w14:textId="77777777" w:rsidR="00A046DC"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2020年度政府采购支出总额120万元，其中：政府采购服务支出120万元。</w:t>
      </w:r>
    </w:p>
    <w:p w14:paraId="1EC48262" w14:textId="77777777" w:rsidR="00A046DC"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14:paraId="73CAAA7D" w14:textId="77777777" w:rsidR="00A046DC" w:rsidRDefault="00000000">
      <w:pPr>
        <w:widowControl/>
        <w:spacing w:line="590" w:lineRule="exact"/>
        <w:ind w:firstLineChars="200" w:firstLine="640"/>
        <w:rPr>
          <w:rFonts w:ascii="华文仿宋" w:eastAsia="华文仿宋" w:hAnsi="华文仿宋" w:cs="仿宋_GB2312"/>
          <w:sz w:val="32"/>
          <w:szCs w:val="32"/>
        </w:rPr>
      </w:pPr>
      <w:r>
        <w:rPr>
          <w:rFonts w:ascii="仿宋_GB2312" w:eastAsia="仿宋_GB2312" w:hAnsi="仿宋_GB2312" w:cs="仿宋_GB2312" w:hint="eastAsia"/>
          <w:sz w:val="32"/>
          <w:szCs w:val="32"/>
        </w:rPr>
        <w:t>2020年期末，</w:t>
      </w:r>
      <w:proofErr w:type="gramStart"/>
      <w:r>
        <w:rPr>
          <w:rFonts w:ascii="华文仿宋" w:eastAsia="华文仿宋" w:hAnsi="华文仿宋" w:cs="仿宋_GB2312" w:hint="eastAsia"/>
          <w:sz w:val="32"/>
          <w:szCs w:val="32"/>
        </w:rPr>
        <w:t>我部门</w:t>
      </w:r>
      <w:proofErr w:type="gramEnd"/>
      <w:r>
        <w:rPr>
          <w:rFonts w:ascii="华文仿宋" w:eastAsia="华文仿宋" w:hAnsi="华文仿宋" w:cs="仿宋_GB2312" w:hint="eastAsia"/>
          <w:sz w:val="32"/>
          <w:szCs w:val="32"/>
        </w:rPr>
        <w:t>共有车辆26辆，其中：执法执勤用车20辆、其他用车6辆。单位价值50万元以上通用设备无，单位价值100万元以上专用设备无。</w:t>
      </w:r>
    </w:p>
    <w:p w14:paraId="40FB62CA" w14:textId="77777777" w:rsidR="00A046DC" w:rsidRDefault="00A046DC">
      <w:pPr>
        <w:widowControl/>
        <w:spacing w:line="590" w:lineRule="exact"/>
        <w:ind w:firstLineChars="200" w:firstLine="640"/>
        <w:rPr>
          <w:rFonts w:ascii="华文仿宋" w:eastAsia="华文仿宋" w:hAnsi="华文仿宋" w:cs="仿宋_GB2312"/>
          <w:sz w:val="32"/>
          <w:szCs w:val="32"/>
        </w:rPr>
        <w:sectPr w:rsidR="00A046DC">
          <w:pgSz w:w="11906" w:h="16838"/>
          <w:pgMar w:top="1440" w:right="1800" w:bottom="1440" w:left="1800" w:header="720" w:footer="720" w:gutter="0"/>
          <w:pgNumType w:fmt="numberInDash"/>
          <w:cols w:space="720"/>
          <w:docGrid w:type="lines" w:linePitch="312"/>
        </w:sectPr>
      </w:pPr>
    </w:p>
    <w:p w14:paraId="0709B016" w14:textId="77777777" w:rsidR="00A046DC" w:rsidRDefault="00A046DC">
      <w:pPr>
        <w:widowControl/>
        <w:jc w:val="left"/>
        <w:rPr>
          <w:rFonts w:ascii="黑体" w:eastAsia="黑体" w:hAnsi="宋体" w:cs="宋体"/>
          <w:kern w:val="0"/>
          <w:sz w:val="28"/>
          <w:szCs w:val="28"/>
        </w:rPr>
      </w:pPr>
    </w:p>
    <w:p w14:paraId="19B4E129" w14:textId="77777777" w:rsidR="00A046DC" w:rsidRDefault="00A046DC">
      <w:pPr>
        <w:widowControl/>
        <w:jc w:val="left"/>
        <w:rPr>
          <w:rFonts w:ascii="黑体" w:eastAsia="黑体" w:hAnsi="宋体" w:cs="宋体"/>
          <w:kern w:val="0"/>
          <w:sz w:val="28"/>
          <w:szCs w:val="28"/>
        </w:rPr>
      </w:pPr>
    </w:p>
    <w:p w14:paraId="4B2E98F7" w14:textId="77777777" w:rsidR="00A046DC" w:rsidRDefault="00A046DC">
      <w:pPr>
        <w:widowControl/>
        <w:jc w:val="left"/>
        <w:rPr>
          <w:rFonts w:ascii="黑体" w:eastAsia="黑体" w:hAnsi="宋体" w:cs="宋体"/>
          <w:kern w:val="0"/>
          <w:sz w:val="28"/>
          <w:szCs w:val="28"/>
        </w:rPr>
      </w:pPr>
    </w:p>
    <w:p w14:paraId="55AF28FA" w14:textId="77777777" w:rsidR="00A046DC" w:rsidRDefault="00A046DC">
      <w:pPr>
        <w:widowControl/>
        <w:jc w:val="left"/>
        <w:rPr>
          <w:rFonts w:ascii="黑体" w:eastAsia="黑体" w:hAnsi="宋体" w:cs="宋体"/>
          <w:kern w:val="0"/>
          <w:sz w:val="28"/>
          <w:szCs w:val="28"/>
        </w:rPr>
      </w:pPr>
    </w:p>
    <w:p w14:paraId="3BC3D237" w14:textId="77777777" w:rsidR="00A046DC" w:rsidRDefault="00A046DC">
      <w:pPr>
        <w:widowControl/>
        <w:jc w:val="left"/>
        <w:rPr>
          <w:rFonts w:ascii="黑体" w:eastAsia="黑体" w:hAnsi="宋体" w:cs="宋体"/>
          <w:kern w:val="0"/>
          <w:sz w:val="28"/>
          <w:szCs w:val="28"/>
        </w:rPr>
      </w:pPr>
    </w:p>
    <w:p w14:paraId="62646830" w14:textId="77777777" w:rsidR="00A046DC" w:rsidRDefault="00A046DC">
      <w:pPr>
        <w:widowControl/>
        <w:jc w:val="left"/>
        <w:rPr>
          <w:rFonts w:ascii="黑体" w:eastAsia="黑体" w:hAnsi="宋体" w:cs="宋体"/>
          <w:kern w:val="0"/>
          <w:sz w:val="28"/>
          <w:szCs w:val="28"/>
        </w:rPr>
      </w:pPr>
    </w:p>
    <w:p w14:paraId="40FDDBF8" w14:textId="77777777" w:rsidR="00A046DC" w:rsidRDefault="00A046DC">
      <w:pPr>
        <w:widowControl/>
        <w:jc w:val="left"/>
        <w:rPr>
          <w:rFonts w:ascii="黑体" w:eastAsia="黑体" w:hAnsi="宋体" w:cs="宋体"/>
          <w:kern w:val="0"/>
          <w:sz w:val="28"/>
          <w:szCs w:val="28"/>
        </w:rPr>
      </w:pPr>
    </w:p>
    <w:p w14:paraId="65EC8D76" w14:textId="77777777" w:rsidR="00A046DC" w:rsidRDefault="00000000">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14:paraId="3EFBD5F0" w14:textId="77777777" w:rsidR="00A046DC" w:rsidRDefault="00A046DC">
      <w:pPr>
        <w:jc w:val="center"/>
        <w:rPr>
          <w:rFonts w:ascii="黑体" w:eastAsia="黑体" w:hAnsi="黑体" w:cs="黑体"/>
          <w:sz w:val="48"/>
          <w:szCs w:val="48"/>
        </w:rPr>
      </w:pPr>
    </w:p>
    <w:p w14:paraId="5E4B2B82" w14:textId="77777777" w:rsidR="00A046DC" w:rsidRDefault="00A046DC">
      <w:pPr>
        <w:jc w:val="center"/>
        <w:outlineLvl w:val="0"/>
        <w:rPr>
          <w:rFonts w:ascii="黑体" w:eastAsia="黑体" w:hAnsi="黑体" w:cs="黑体"/>
          <w:sz w:val="48"/>
          <w:szCs w:val="48"/>
        </w:rPr>
        <w:sectPr w:rsidR="00A046DC">
          <w:pgSz w:w="11906" w:h="16838"/>
          <w:pgMar w:top="1440" w:right="1531" w:bottom="1440" w:left="1587" w:header="850" w:footer="992" w:gutter="0"/>
          <w:pgNumType w:fmt="numberInDash"/>
          <w:cols w:space="720"/>
          <w:docGrid w:type="lines" w:linePitch="317"/>
        </w:sectPr>
      </w:pPr>
    </w:p>
    <w:p w14:paraId="04D0F378"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5F1902E1"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5D906C18"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088FC650"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0EB7ACA1"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37664D7E"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6AB7ACAB"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23680A6B"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9646CBB"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4CAC352C"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0580C0C4"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6FC245"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557CAB34"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2AC0D770"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4315AC98"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318B12F2" w14:textId="77777777" w:rsidR="00A046DC"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3F628B95" w14:textId="77777777" w:rsidR="00A046DC" w:rsidRDefault="00A046DC"/>
    <w:sectPr w:rsidR="00A046DC">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9384" w14:textId="77777777" w:rsidR="007714AB" w:rsidRDefault="007714AB">
      <w:r>
        <w:separator/>
      </w:r>
    </w:p>
  </w:endnote>
  <w:endnote w:type="continuationSeparator" w:id="0">
    <w:p w14:paraId="7844B997" w14:textId="77777777" w:rsidR="007714AB" w:rsidRDefault="0077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B702" w14:textId="77777777" w:rsidR="00A046DC" w:rsidRDefault="00000000">
    <w:pPr>
      <w:pStyle w:val="a5"/>
    </w:pPr>
    <w:r>
      <w:rPr>
        <w:noProof/>
      </w:rPr>
      <mc:AlternateContent>
        <mc:Choice Requires="wps">
          <w:drawing>
            <wp:anchor distT="0" distB="0" distL="114300" distR="114300" simplePos="0" relativeHeight="251661312" behindDoc="0" locked="0" layoutInCell="1" allowOverlap="1" wp14:anchorId="59E374E5" wp14:editId="0608587A">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14F65EF" w14:textId="77777777" w:rsidR="00A046D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type w14:anchorId="59E374E5" id="_x0000_t202" coordsize="21600,21600" o:spt="202" path="m,l,21600r21600,l21600,xe">
              <v:stroke joinstyle="miter"/>
              <v:path gradientshapeok="t" o:connecttype="rect"/>
            </v:shapetype>
            <v:shape id="文本框 205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014F65EF" w14:textId="77777777" w:rsidR="00A046D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A2C0" w14:textId="77777777" w:rsidR="00A046DC" w:rsidRDefault="00000000">
    <w:pPr>
      <w:pStyle w:val="a5"/>
    </w:pPr>
    <w:r>
      <w:rPr>
        <w:noProof/>
      </w:rPr>
      <mc:AlternateContent>
        <mc:Choice Requires="wps">
          <w:drawing>
            <wp:anchor distT="0" distB="0" distL="114300" distR="114300" simplePos="0" relativeHeight="251660288" behindDoc="0" locked="0" layoutInCell="1" allowOverlap="1" wp14:anchorId="0936F4EC" wp14:editId="1C5EC8D8">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5350ADB" w14:textId="77777777" w:rsidR="00A046D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a:spAutoFit/>
                    </wps:bodyPr>
                  </wps:wsp>
                </a:graphicData>
              </a:graphic>
            </wp:anchor>
          </w:drawing>
        </mc:Choice>
        <mc:Fallback>
          <w:pict>
            <v:shapetype w14:anchorId="0936F4EC" id="_x0000_t202" coordsize="21600,21600" o:spt="202" path="m,l,21600r21600,l21600,xe">
              <v:stroke joinstyle="miter"/>
              <v:path gradientshapeok="t" o:connecttype="rect"/>
            </v:shapetype>
            <v:shape id="文本框 205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StRrFI8BAAApAwAADgAAAAAAAAAAAAAAAAAu&#10;AgAAZHJzL2Uyb0RvYy54bWxQSwECLQAUAAYACAAAACEADErw7tYAAAAFAQAADwAAAAAAAAAAAAAA&#10;AADpAwAAZHJzL2Rvd25yZXYueG1sUEsFBgAAAAAEAAQA8wAAAOwEAAAAAA==&#10;" filled="f" stroked="f">
              <v:textbox style="mso-fit-shape-to-text:t" inset="0,0,0,0">
                <w:txbxContent>
                  <w:p w14:paraId="25350ADB" w14:textId="77777777" w:rsidR="00A046D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B4BC867" wp14:editId="255411A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C04361" w14:textId="77777777" w:rsidR="00A046DC" w:rsidRDefault="00A046DC"/>
                      </w:txbxContent>
                    </wps:txbx>
                    <wps:bodyPr wrap="none" lIns="0" tIns="0" rIns="0" bIns="0">
                      <a:spAutoFit/>
                    </wps:bodyPr>
                  </wps:wsp>
                </a:graphicData>
              </a:graphic>
            </wp:anchor>
          </w:drawing>
        </mc:Choice>
        <mc:Fallback>
          <w:pict>
            <v:shape w14:anchorId="7B4BC867" id="文本框 1027"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ANwLJ/lAEAACkDAAAOAAAAAAAAAAAA&#10;AAAAAC4CAABkcnMvZTJvRG9jLnhtbFBLAQItABQABgAIAAAAIQAMSvDu1gAAAAUBAAAPAAAAAAAA&#10;AAAAAAAAAO4DAABkcnMvZG93bnJldi54bWxQSwUGAAAAAAQABADzAAAA8QQAAAAA&#10;" filled="f" stroked="f">
              <v:textbox style="mso-fit-shape-to-text:t" inset="0,0,0,0">
                <w:txbxContent>
                  <w:p w14:paraId="15C04361" w14:textId="77777777" w:rsidR="00A046DC" w:rsidRDefault="00A046D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7B72" w14:textId="77777777" w:rsidR="007714AB" w:rsidRDefault="007714AB">
      <w:r>
        <w:separator/>
      </w:r>
    </w:p>
  </w:footnote>
  <w:footnote w:type="continuationSeparator" w:id="0">
    <w:p w14:paraId="43BE3897" w14:textId="77777777" w:rsidR="007714AB" w:rsidRDefault="00771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abstractNum w:abstractNumId="1" w15:restartNumberingAfterBreak="0">
    <w:nsid w:val="5CC2B64F"/>
    <w:multiLevelType w:val="singleLevel"/>
    <w:tmpl w:val="5CC2B64F"/>
    <w:lvl w:ilvl="0">
      <w:start w:val="16"/>
      <w:numFmt w:val="chineseCounting"/>
      <w:suff w:val="nothing"/>
      <w:lvlText w:val="（%1）"/>
      <w:lvlJc w:val="left"/>
    </w:lvl>
  </w:abstractNum>
  <w:num w:numId="1" w16cid:durableId="90781679">
    <w:abstractNumId w:val="0"/>
  </w:num>
  <w:num w:numId="2" w16cid:durableId="127613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6DC"/>
    <w:rsid w:val="007714AB"/>
    <w:rsid w:val="00A046DC"/>
    <w:rsid w:val="00DA7F32"/>
    <w:rsid w:val="0B847CA2"/>
    <w:rsid w:val="1348619C"/>
    <w:rsid w:val="21072F2A"/>
    <w:rsid w:val="21DC286A"/>
    <w:rsid w:val="239348D7"/>
    <w:rsid w:val="240E06F2"/>
    <w:rsid w:val="2D5347F6"/>
    <w:rsid w:val="32DF3B94"/>
    <w:rsid w:val="38D835D7"/>
    <w:rsid w:val="3E4C25CA"/>
    <w:rsid w:val="443A7648"/>
    <w:rsid w:val="4701142B"/>
    <w:rsid w:val="497A2108"/>
    <w:rsid w:val="4EFC09E4"/>
    <w:rsid w:val="528560F4"/>
    <w:rsid w:val="5561391B"/>
    <w:rsid w:val="587F2E51"/>
    <w:rsid w:val="5BB52259"/>
    <w:rsid w:val="5BF760DE"/>
    <w:rsid w:val="5DBE40E4"/>
    <w:rsid w:val="613D7B28"/>
    <w:rsid w:val="645C0D30"/>
    <w:rsid w:val="667B5D0E"/>
    <w:rsid w:val="6FF9701A"/>
    <w:rsid w:val="7C0A107F"/>
    <w:rsid w:val="7F77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45433"/>
  <w15:docId w15:val="{47AB1E8F-E0CF-4D69-8DC9-4307A8D2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szCs w:val="18"/>
    </w:rPr>
  </w:style>
  <w:style w:type="character" w:styleId="a6">
    <w:name w:val="annotation reference"/>
    <w:basedOn w:val="a1"/>
    <w:qFormat/>
    <w:rPr>
      <w:sz w:val="21"/>
      <w:szCs w:val="21"/>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10" Type="http://schemas.openxmlformats.org/officeDocument/2006/relationships/image" Target="media/image1.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童 新安</cp:lastModifiedBy>
  <cp:revision>2</cp:revision>
  <cp:lastPrinted>2021-09-28T08:44:00Z</cp:lastPrinted>
  <dcterms:created xsi:type="dcterms:W3CDTF">2014-10-29T12:08:00Z</dcterms:created>
  <dcterms:modified xsi:type="dcterms:W3CDTF">2022-08-25T11:45:00Z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D62716C3618B4C3784D51E48F7B126CA</vt:lpwstr>
  </property>
</Properties>
</file>