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jc w:val="center"/>
        <w:rPr>
          <w:rFonts w:hint="eastAsia" w:ascii="黑体" w:hAnsi="黑体" w:eastAsia="黑体" w:cs="黑体"/>
          <w:sz w:val="52"/>
          <w:szCs w:val="52"/>
        </w:rPr>
      </w:pPr>
      <w:r>
        <w:rPr>
          <w:rFonts w:hint="eastAsia" w:ascii="黑体" w:hAnsi="黑体" w:eastAsia="黑体" w:cs="黑体"/>
          <w:sz w:val="52"/>
          <w:szCs w:val="52"/>
        </w:rPr>
        <w:t>20</w:t>
      </w:r>
      <w:r>
        <w:rPr>
          <w:rFonts w:hint="eastAsia" w:ascii="黑体" w:hAnsi="黑体" w:eastAsia="黑体" w:cs="黑体"/>
          <w:sz w:val="52"/>
          <w:szCs w:val="52"/>
          <w:lang w:val="en-US" w:eastAsia="zh-CN"/>
        </w:rPr>
        <w:t>20</w:t>
      </w:r>
      <w:r>
        <w:rPr>
          <w:rFonts w:hint="eastAsia" w:ascii="黑体" w:hAnsi="黑体" w:eastAsia="黑体" w:cs="黑体"/>
          <w:sz w:val="52"/>
          <w:szCs w:val="52"/>
        </w:rPr>
        <w:t>年度</w:t>
      </w:r>
    </w:p>
    <w:p>
      <w:pPr>
        <w:jc w:val="center"/>
        <w:rPr>
          <w:rFonts w:hint="eastAsia" w:ascii="黑体" w:hAnsi="黑体" w:eastAsia="黑体" w:cs="黑体"/>
          <w:sz w:val="52"/>
          <w:szCs w:val="52"/>
        </w:rPr>
      </w:pPr>
      <w:r>
        <w:rPr>
          <w:rFonts w:hint="eastAsia" w:ascii="黑体" w:hAnsi="黑体" w:eastAsia="黑体" w:cs="黑体"/>
          <w:sz w:val="52"/>
          <w:szCs w:val="52"/>
        </w:rPr>
        <w:t>洛龙区服务业发展局部门决算</w:t>
      </w:r>
    </w:p>
    <w:p>
      <w:pPr>
        <w:jc w:val="center"/>
        <w:rPr>
          <w:rFonts w:hint="eastAsia" w:ascii="黑体" w:hAnsi="黑体" w:eastAsia="黑体" w:cs="黑体"/>
          <w:sz w:val="52"/>
          <w:szCs w:val="52"/>
        </w:rPr>
      </w:pPr>
    </w:p>
    <w:p>
      <w:pPr>
        <w:jc w:val="center"/>
        <w:rPr>
          <w:rFonts w:hint="eastAsia" w:ascii="黑体" w:hAnsi="黑体" w:eastAsia="黑体" w:cs="黑体"/>
          <w:sz w:val="52"/>
          <w:szCs w:val="52"/>
        </w:rPr>
      </w:pPr>
    </w:p>
    <w:p>
      <w:pPr>
        <w:jc w:val="center"/>
        <w:rPr>
          <w:rFonts w:hint="eastAsia" w:ascii="黑体" w:hAnsi="黑体" w:eastAsia="黑体" w:cs="黑体"/>
          <w:sz w:val="52"/>
          <w:szCs w:val="52"/>
        </w:rPr>
      </w:pPr>
    </w:p>
    <w:p>
      <w:pPr>
        <w:jc w:val="center"/>
        <w:rPr>
          <w:rFonts w:hint="eastAsia" w:ascii="黑体" w:hAnsi="黑体" w:eastAsia="黑体" w:cs="黑体"/>
          <w:sz w:val="52"/>
          <w:szCs w:val="52"/>
        </w:rPr>
      </w:pPr>
    </w:p>
    <w:p>
      <w:pPr>
        <w:jc w:val="center"/>
        <w:rPr>
          <w:rFonts w:hint="eastAsia" w:ascii="黑体" w:hAnsi="黑体" w:eastAsia="黑体" w:cs="黑体"/>
          <w:sz w:val="52"/>
          <w:szCs w:val="52"/>
        </w:rPr>
      </w:pPr>
    </w:p>
    <w:p>
      <w:pPr>
        <w:jc w:val="center"/>
        <w:rPr>
          <w:rFonts w:hint="eastAsia" w:ascii="黑体" w:hAnsi="黑体" w:eastAsia="黑体" w:cs="黑体"/>
          <w:sz w:val="52"/>
          <w:szCs w:val="52"/>
        </w:rPr>
      </w:pPr>
    </w:p>
    <w:p>
      <w:pPr>
        <w:jc w:val="center"/>
        <w:rPr>
          <w:rFonts w:hint="eastAsia" w:ascii="黑体" w:hAnsi="黑体" w:eastAsia="黑体" w:cs="黑体"/>
          <w:sz w:val="32"/>
          <w:szCs w:val="32"/>
          <w:highlight w:val="none"/>
        </w:rPr>
        <w:sectPr>
          <w:pgSz w:w="11906" w:h="16838"/>
          <w:pgMar w:top="1440" w:right="1531" w:bottom="1440" w:left="1587" w:header="850" w:footer="992" w:gutter="0"/>
          <w:pgNumType w:fmt="numberInDash"/>
          <w:cols w:space="720" w:num="1"/>
          <w:docGrid w:type="lines" w:linePitch="317" w:charSpace="0"/>
        </w:sectPr>
      </w:pPr>
      <w:r>
        <w:rPr>
          <w:rFonts w:hint="eastAsia" w:ascii="黑体" w:hAnsi="黑体" w:eastAsia="黑体" w:cs="黑体"/>
          <w:sz w:val="32"/>
          <w:szCs w:val="32"/>
        </w:rPr>
        <w:t>二〇二</w:t>
      </w:r>
      <w:r>
        <w:rPr>
          <w:rFonts w:hint="eastAsia" w:ascii="黑体" w:hAnsi="黑体" w:eastAsia="黑体" w:cs="黑体"/>
          <w:sz w:val="32"/>
          <w:szCs w:val="32"/>
          <w:lang w:eastAsia="zh-CN"/>
        </w:rPr>
        <w:t>一</w:t>
      </w:r>
      <w:r>
        <w:rPr>
          <w:rFonts w:hint="eastAsia" w:ascii="黑体" w:hAnsi="黑体" w:eastAsia="黑体" w:cs="黑体"/>
          <w:sz w:val="32"/>
          <w:szCs w:val="32"/>
        </w:rPr>
        <w:t>年</w:t>
      </w:r>
      <w:r>
        <w:rPr>
          <w:rFonts w:hint="eastAsia" w:ascii="黑体" w:hAnsi="黑体" w:eastAsia="黑体" w:cs="黑体"/>
          <w:sz w:val="32"/>
          <w:szCs w:val="32"/>
          <w:highlight w:val="none"/>
          <w:lang w:eastAsia="zh-CN"/>
        </w:rPr>
        <w:t>八</w:t>
      </w:r>
      <w:r>
        <w:rPr>
          <w:rFonts w:hint="eastAsia" w:ascii="黑体" w:hAnsi="黑体" w:eastAsia="黑体" w:cs="黑体"/>
          <w:sz w:val="32"/>
          <w:szCs w:val="32"/>
          <w:highlight w:val="none"/>
        </w:rPr>
        <w:t>月</w:t>
      </w:r>
    </w:p>
    <w:p>
      <w:pPr>
        <w:jc w:val="center"/>
        <w:rPr>
          <w:rFonts w:ascii="黑体" w:hAnsi="黑体" w:eastAsia="黑体" w:cs="黑体"/>
          <w:sz w:val="36"/>
          <w:szCs w:val="36"/>
        </w:rPr>
      </w:pPr>
      <w:r>
        <w:rPr>
          <w:rFonts w:hint="eastAsia" w:ascii="黑体" w:hAnsi="黑体" w:eastAsia="黑体" w:cs="黑体"/>
          <w:sz w:val="36"/>
          <w:szCs w:val="36"/>
        </w:rPr>
        <w:t>目　　录</w:t>
      </w:r>
    </w:p>
    <w:p>
      <w:pPr>
        <w:jc w:val="left"/>
        <w:rPr>
          <w:rFonts w:ascii="黑体" w:hAnsi="黑体" w:eastAsia="黑体" w:cs="黑体"/>
          <w:sz w:val="32"/>
          <w:szCs w:val="32"/>
        </w:rPr>
      </w:pPr>
      <w:r>
        <w:rPr>
          <w:rFonts w:hint="eastAsia" w:ascii="黑体" w:hAnsi="黑体" w:eastAsia="黑体" w:cs="黑体"/>
          <w:sz w:val="32"/>
          <w:szCs w:val="32"/>
        </w:rPr>
        <w:t>第一部分　　</w:t>
      </w:r>
      <w:r>
        <w:rPr>
          <w:rFonts w:hint="eastAsia" w:ascii="黑体" w:hAnsi="黑体" w:eastAsia="黑体" w:cs="黑体"/>
          <w:sz w:val="32"/>
          <w:szCs w:val="32"/>
          <w:lang w:eastAsia="zh-CN"/>
        </w:rPr>
        <w:t>洛龙区服务业发展局</w:t>
      </w:r>
      <w:r>
        <w:rPr>
          <w:rFonts w:hint="eastAsia" w:ascii="黑体" w:hAnsi="黑体" w:eastAsia="黑体" w:cs="黑体"/>
          <w:sz w:val="32"/>
          <w:szCs w:val="32"/>
        </w:rPr>
        <w:t>概况</w:t>
      </w:r>
    </w:p>
    <w:p>
      <w:pPr>
        <w:numPr>
          <w:ilvl w:val="0"/>
          <w:numId w:val="1"/>
        </w:numPr>
        <w:ind w:firstLine="640" w:firstLineChars="200"/>
        <w:jc w:val="left"/>
        <w:rPr>
          <w:rFonts w:ascii="宋体" w:hAnsi="宋体" w:cs="宋体"/>
          <w:sz w:val="32"/>
          <w:szCs w:val="32"/>
        </w:rPr>
      </w:pPr>
      <w:r>
        <w:rPr>
          <w:rFonts w:hint="eastAsia" w:ascii="宋体" w:hAnsi="宋体" w:cs="宋体"/>
          <w:sz w:val="32"/>
          <w:szCs w:val="32"/>
        </w:rPr>
        <w:t>部门职责</w:t>
      </w:r>
    </w:p>
    <w:p>
      <w:pPr>
        <w:numPr>
          <w:ilvl w:val="0"/>
          <w:numId w:val="1"/>
        </w:numPr>
        <w:ind w:firstLine="640" w:firstLineChars="200"/>
        <w:jc w:val="left"/>
        <w:rPr>
          <w:rFonts w:ascii="宋体" w:hAnsi="宋体" w:cs="宋体"/>
          <w:sz w:val="32"/>
          <w:szCs w:val="32"/>
        </w:rPr>
      </w:pPr>
      <w:r>
        <w:rPr>
          <w:rFonts w:hint="eastAsia" w:ascii="宋体" w:hAnsi="宋体" w:cs="宋体"/>
          <w:sz w:val="32"/>
          <w:szCs w:val="32"/>
        </w:rPr>
        <w:t>机构设置</w:t>
      </w:r>
    </w:p>
    <w:p>
      <w:pPr>
        <w:jc w:val="left"/>
        <w:rPr>
          <w:rFonts w:ascii="黑体" w:hAnsi="黑体" w:eastAsia="黑体" w:cs="黑体"/>
          <w:sz w:val="32"/>
          <w:szCs w:val="32"/>
        </w:rPr>
      </w:pPr>
      <w:r>
        <w:rPr>
          <w:rFonts w:hint="eastAsia" w:ascii="黑体" w:hAnsi="黑体" w:eastAsia="黑体" w:cs="黑体"/>
          <w:sz w:val="32"/>
          <w:szCs w:val="32"/>
        </w:rPr>
        <w:t>第二部分　　20</w:t>
      </w:r>
      <w:r>
        <w:rPr>
          <w:rFonts w:hint="eastAsia" w:ascii="黑体" w:hAnsi="黑体" w:eastAsia="黑体" w:cs="黑体"/>
          <w:sz w:val="32"/>
          <w:szCs w:val="32"/>
          <w:lang w:val="en-US" w:eastAsia="zh-CN"/>
        </w:rPr>
        <w:t>20</w:t>
      </w:r>
      <w:r>
        <w:rPr>
          <w:rFonts w:hint="eastAsia" w:ascii="黑体" w:hAnsi="黑体" w:eastAsia="黑体" w:cs="黑体"/>
          <w:sz w:val="32"/>
          <w:szCs w:val="32"/>
        </w:rPr>
        <w:t>年度部门决算表</w:t>
      </w:r>
    </w:p>
    <w:p>
      <w:pPr>
        <w:ind w:firstLine="640" w:firstLineChars="200"/>
        <w:jc w:val="left"/>
        <w:rPr>
          <w:rFonts w:ascii="宋体" w:hAnsi="宋体" w:cs="宋体"/>
          <w:sz w:val="32"/>
          <w:szCs w:val="32"/>
        </w:rPr>
      </w:pPr>
      <w:r>
        <w:rPr>
          <w:rFonts w:hint="eastAsia" w:ascii="宋体" w:hAnsi="宋体" w:cs="宋体"/>
          <w:sz w:val="32"/>
          <w:szCs w:val="32"/>
        </w:rPr>
        <w:t>一、收入支出决算总表</w:t>
      </w:r>
    </w:p>
    <w:p>
      <w:pPr>
        <w:ind w:firstLine="640" w:firstLineChars="200"/>
        <w:jc w:val="left"/>
        <w:rPr>
          <w:rFonts w:ascii="宋体" w:hAnsi="宋体" w:cs="宋体"/>
          <w:sz w:val="32"/>
          <w:szCs w:val="32"/>
        </w:rPr>
      </w:pPr>
      <w:r>
        <w:rPr>
          <w:rFonts w:hint="eastAsia" w:ascii="宋体" w:hAnsi="宋体" w:cs="宋体"/>
          <w:sz w:val="32"/>
          <w:szCs w:val="32"/>
        </w:rPr>
        <w:t>二、收入决算表</w:t>
      </w:r>
    </w:p>
    <w:p>
      <w:pPr>
        <w:ind w:firstLine="640" w:firstLineChars="200"/>
        <w:jc w:val="left"/>
        <w:rPr>
          <w:rFonts w:hint="eastAsia" w:ascii="宋体" w:hAnsi="宋体" w:cs="宋体"/>
          <w:sz w:val="32"/>
          <w:szCs w:val="32"/>
        </w:rPr>
      </w:pPr>
      <w:r>
        <w:rPr>
          <w:rFonts w:hint="eastAsia" w:ascii="宋体" w:hAnsi="宋体" w:cs="宋体"/>
          <w:sz w:val="32"/>
          <w:szCs w:val="32"/>
        </w:rPr>
        <w:t>三、支出决算表</w:t>
      </w:r>
    </w:p>
    <w:p>
      <w:pPr>
        <w:ind w:firstLine="640" w:firstLineChars="200"/>
        <w:jc w:val="left"/>
        <w:rPr>
          <w:rFonts w:hint="eastAsia" w:ascii="宋体" w:hAnsi="宋体" w:cs="宋体"/>
          <w:sz w:val="32"/>
          <w:szCs w:val="32"/>
        </w:rPr>
      </w:pPr>
      <w:r>
        <w:rPr>
          <w:rFonts w:hint="eastAsia" w:ascii="宋体" w:hAnsi="宋体" w:cs="宋体"/>
          <w:sz w:val="32"/>
          <w:szCs w:val="32"/>
        </w:rPr>
        <w:t>四、财政拨款收入支出决算总表</w:t>
      </w:r>
    </w:p>
    <w:p>
      <w:pPr>
        <w:ind w:firstLine="640" w:firstLineChars="200"/>
        <w:jc w:val="left"/>
        <w:rPr>
          <w:rFonts w:hint="eastAsia" w:ascii="宋体" w:hAnsi="宋体" w:cs="宋体"/>
          <w:sz w:val="32"/>
          <w:szCs w:val="32"/>
        </w:rPr>
      </w:pPr>
      <w:r>
        <w:rPr>
          <w:rFonts w:hint="eastAsia" w:ascii="宋体" w:hAnsi="宋体" w:cs="宋体"/>
          <w:sz w:val="32"/>
          <w:szCs w:val="32"/>
        </w:rPr>
        <w:t>五、一般公共预算财政拨款支出决算表</w:t>
      </w:r>
    </w:p>
    <w:p>
      <w:pPr>
        <w:ind w:firstLine="640" w:firstLineChars="200"/>
        <w:jc w:val="left"/>
        <w:rPr>
          <w:rFonts w:hint="eastAsia" w:ascii="宋体" w:hAnsi="宋体" w:cs="宋体"/>
          <w:sz w:val="32"/>
          <w:szCs w:val="32"/>
        </w:rPr>
      </w:pPr>
      <w:r>
        <w:rPr>
          <w:rFonts w:hint="eastAsia" w:ascii="宋体" w:hAnsi="宋体" w:cs="宋体"/>
          <w:sz w:val="32"/>
          <w:szCs w:val="32"/>
        </w:rPr>
        <w:t>六、一般公共预算财政拨款基本支出决算表</w:t>
      </w:r>
    </w:p>
    <w:p>
      <w:pPr>
        <w:ind w:firstLine="640" w:firstLineChars="200"/>
        <w:jc w:val="left"/>
        <w:rPr>
          <w:rFonts w:hint="eastAsia" w:ascii="宋体" w:hAnsi="宋体" w:cs="宋体"/>
          <w:sz w:val="32"/>
          <w:szCs w:val="32"/>
        </w:rPr>
      </w:pPr>
      <w:r>
        <w:rPr>
          <w:rFonts w:hint="eastAsia" w:ascii="宋体" w:hAnsi="宋体" w:cs="宋体"/>
          <w:sz w:val="32"/>
          <w:szCs w:val="32"/>
        </w:rPr>
        <w:t>七、一般公共预算财政拨款“三公”经费支出决算表</w:t>
      </w:r>
    </w:p>
    <w:p>
      <w:pPr>
        <w:ind w:firstLine="640" w:firstLineChars="200"/>
        <w:jc w:val="left"/>
        <w:rPr>
          <w:rFonts w:hint="eastAsia" w:ascii="宋体" w:hAnsi="宋体" w:cs="宋体"/>
          <w:sz w:val="32"/>
          <w:szCs w:val="32"/>
        </w:rPr>
      </w:pPr>
      <w:r>
        <w:rPr>
          <w:rFonts w:hint="eastAsia" w:ascii="宋体" w:hAnsi="宋体" w:cs="宋体"/>
          <w:sz w:val="32"/>
          <w:szCs w:val="32"/>
        </w:rPr>
        <w:t>八、政府性基金预算财政拨款收入支出决算表</w:t>
      </w:r>
    </w:p>
    <w:p>
      <w:pPr>
        <w:jc w:val="left"/>
        <w:rPr>
          <w:rFonts w:hint="eastAsia" w:ascii="黑体" w:hAnsi="黑体" w:eastAsia="黑体" w:cs="黑体"/>
          <w:sz w:val="32"/>
          <w:szCs w:val="32"/>
        </w:rPr>
      </w:pPr>
      <w:r>
        <w:rPr>
          <w:rFonts w:hint="eastAsia" w:ascii="黑体" w:hAnsi="黑体" w:eastAsia="黑体" w:cs="黑体"/>
          <w:sz w:val="32"/>
          <w:szCs w:val="32"/>
        </w:rPr>
        <w:t>第三部分　　20</w:t>
      </w:r>
      <w:r>
        <w:rPr>
          <w:rFonts w:hint="eastAsia" w:ascii="黑体" w:hAnsi="黑体" w:eastAsia="黑体" w:cs="黑体"/>
          <w:sz w:val="32"/>
          <w:szCs w:val="32"/>
          <w:lang w:val="en-US" w:eastAsia="zh-CN"/>
        </w:rPr>
        <w:t>20</w:t>
      </w:r>
      <w:r>
        <w:rPr>
          <w:rFonts w:hint="eastAsia" w:ascii="黑体" w:hAnsi="黑体" w:eastAsia="黑体" w:cs="黑体"/>
          <w:sz w:val="32"/>
          <w:szCs w:val="32"/>
        </w:rPr>
        <w:t>年度部门决算情况说明</w:t>
      </w:r>
    </w:p>
    <w:p>
      <w:pPr>
        <w:ind w:firstLine="640" w:firstLineChars="200"/>
        <w:jc w:val="left"/>
        <w:rPr>
          <w:rFonts w:hint="eastAsia" w:ascii="宋体" w:hAnsi="宋体" w:cs="宋体"/>
          <w:sz w:val="32"/>
          <w:szCs w:val="32"/>
        </w:rPr>
      </w:pPr>
      <w:r>
        <w:rPr>
          <w:rFonts w:hint="eastAsia" w:ascii="宋体" w:hAnsi="宋体" w:cs="宋体"/>
          <w:sz w:val="32"/>
          <w:szCs w:val="32"/>
        </w:rPr>
        <w:t>一、收入支出决算总体情况说明</w:t>
      </w:r>
    </w:p>
    <w:p>
      <w:pPr>
        <w:ind w:firstLine="640" w:firstLineChars="200"/>
        <w:jc w:val="left"/>
        <w:rPr>
          <w:rFonts w:hint="eastAsia" w:ascii="宋体" w:hAnsi="宋体" w:cs="宋体"/>
          <w:sz w:val="32"/>
          <w:szCs w:val="32"/>
        </w:rPr>
      </w:pPr>
      <w:r>
        <w:rPr>
          <w:rFonts w:hint="eastAsia" w:ascii="宋体" w:hAnsi="宋体" w:cs="宋体"/>
          <w:sz w:val="32"/>
          <w:szCs w:val="32"/>
        </w:rPr>
        <w:t>二、收入决算情况说明</w:t>
      </w:r>
    </w:p>
    <w:p>
      <w:pPr>
        <w:ind w:firstLine="640" w:firstLineChars="200"/>
        <w:jc w:val="left"/>
        <w:rPr>
          <w:rFonts w:hint="eastAsia" w:ascii="宋体" w:hAnsi="宋体" w:cs="宋体"/>
          <w:sz w:val="32"/>
          <w:szCs w:val="32"/>
        </w:rPr>
      </w:pPr>
      <w:r>
        <w:rPr>
          <w:rFonts w:hint="eastAsia" w:ascii="宋体" w:hAnsi="宋体" w:cs="宋体"/>
          <w:sz w:val="32"/>
          <w:szCs w:val="32"/>
        </w:rPr>
        <w:t>三、支出决算情况说明</w:t>
      </w:r>
    </w:p>
    <w:p>
      <w:pPr>
        <w:ind w:firstLine="640" w:firstLineChars="200"/>
        <w:jc w:val="left"/>
        <w:rPr>
          <w:rFonts w:hint="eastAsia" w:ascii="宋体" w:hAnsi="宋体" w:cs="宋体"/>
          <w:sz w:val="32"/>
          <w:szCs w:val="32"/>
        </w:rPr>
      </w:pPr>
      <w:r>
        <w:rPr>
          <w:rFonts w:hint="eastAsia" w:ascii="宋体" w:hAnsi="宋体" w:cs="宋体"/>
          <w:sz w:val="32"/>
          <w:szCs w:val="32"/>
        </w:rPr>
        <w:t>四、财政拨款收入支出决算总体情况说明</w:t>
      </w:r>
    </w:p>
    <w:p>
      <w:pPr>
        <w:ind w:firstLine="640" w:firstLineChars="200"/>
        <w:jc w:val="left"/>
        <w:rPr>
          <w:rFonts w:hint="eastAsia" w:ascii="宋体" w:hAnsi="宋体" w:cs="宋体"/>
          <w:sz w:val="32"/>
          <w:szCs w:val="32"/>
        </w:rPr>
      </w:pPr>
      <w:r>
        <w:rPr>
          <w:rFonts w:hint="eastAsia" w:ascii="宋体" w:hAnsi="宋体" w:cs="宋体"/>
          <w:sz w:val="32"/>
          <w:szCs w:val="32"/>
        </w:rPr>
        <w:t>五、一般公共预算财政拨款支出决算情况说明</w:t>
      </w:r>
    </w:p>
    <w:p>
      <w:pPr>
        <w:ind w:firstLine="640" w:firstLineChars="200"/>
        <w:jc w:val="left"/>
        <w:rPr>
          <w:rFonts w:hint="eastAsia" w:ascii="宋体" w:hAnsi="宋体" w:cs="宋体"/>
          <w:sz w:val="32"/>
          <w:szCs w:val="32"/>
        </w:rPr>
      </w:pPr>
      <w:r>
        <w:rPr>
          <w:rFonts w:hint="eastAsia" w:ascii="宋体" w:hAnsi="宋体" w:cs="宋体"/>
          <w:sz w:val="32"/>
          <w:szCs w:val="32"/>
        </w:rPr>
        <w:t>六、一般公共预算财政拨款基本支出决算情况说明</w:t>
      </w:r>
    </w:p>
    <w:p>
      <w:pPr>
        <w:ind w:firstLine="640" w:firstLineChars="200"/>
        <w:jc w:val="left"/>
        <w:rPr>
          <w:rFonts w:hint="eastAsia" w:ascii="宋体" w:hAnsi="宋体" w:cs="宋体"/>
          <w:sz w:val="32"/>
          <w:szCs w:val="32"/>
        </w:rPr>
      </w:pPr>
      <w:r>
        <w:rPr>
          <w:rFonts w:hint="eastAsia" w:ascii="宋体" w:hAnsi="宋体" w:cs="宋体"/>
          <w:sz w:val="32"/>
          <w:szCs w:val="32"/>
        </w:rPr>
        <w:t>七、一般公共预算财政拨款“三公”经费支出决算情况说明</w:t>
      </w:r>
    </w:p>
    <w:p>
      <w:pPr>
        <w:ind w:firstLine="640" w:firstLineChars="200"/>
        <w:jc w:val="left"/>
        <w:rPr>
          <w:rFonts w:hint="eastAsia" w:ascii="宋体" w:hAnsi="宋体" w:cs="宋体"/>
          <w:sz w:val="32"/>
          <w:szCs w:val="32"/>
        </w:rPr>
      </w:pPr>
      <w:r>
        <w:rPr>
          <w:rFonts w:hint="eastAsia" w:ascii="宋体" w:hAnsi="宋体" w:cs="宋体"/>
          <w:sz w:val="32"/>
          <w:szCs w:val="32"/>
        </w:rPr>
        <w:t>八、预算绩效情况说明</w:t>
      </w:r>
    </w:p>
    <w:p>
      <w:pPr>
        <w:ind w:firstLine="640" w:firstLineChars="200"/>
        <w:jc w:val="left"/>
        <w:rPr>
          <w:rFonts w:hint="eastAsia" w:ascii="宋体" w:hAnsi="宋体" w:cs="宋体"/>
          <w:sz w:val="32"/>
          <w:szCs w:val="32"/>
        </w:rPr>
      </w:pPr>
      <w:r>
        <w:rPr>
          <w:rFonts w:hint="eastAsia" w:ascii="宋体" w:hAnsi="宋体" w:cs="宋体"/>
          <w:sz w:val="32"/>
          <w:szCs w:val="32"/>
        </w:rPr>
        <w:t>九、政府性基金预算财政拨款支出决算情况说明</w:t>
      </w:r>
    </w:p>
    <w:p>
      <w:pPr>
        <w:ind w:firstLine="640" w:firstLineChars="200"/>
        <w:jc w:val="left"/>
        <w:rPr>
          <w:rFonts w:hint="eastAsia" w:ascii="宋体" w:hAnsi="宋体" w:cs="宋体"/>
          <w:sz w:val="32"/>
          <w:szCs w:val="32"/>
        </w:rPr>
      </w:pPr>
      <w:r>
        <w:rPr>
          <w:rFonts w:hint="eastAsia" w:ascii="宋体" w:hAnsi="宋体" w:cs="宋体"/>
          <w:sz w:val="32"/>
          <w:szCs w:val="32"/>
        </w:rPr>
        <w:t>十、机关运行经费支出情况说明</w:t>
      </w:r>
    </w:p>
    <w:p>
      <w:pPr>
        <w:ind w:firstLine="640" w:firstLineChars="200"/>
        <w:jc w:val="left"/>
        <w:rPr>
          <w:rFonts w:hint="eastAsia" w:ascii="宋体" w:hAnsi="宋体" w:cs="宋体"/>
          <w:sz w:val="32"/>
          <w:szCs w:val="32"/>
        </w:rPr>
      </w:pPr>
      <w:r>
        <w:rPr>
          <w:rFonts w:hint="eastAsia" w:ascii="宋体" w:hAnsi="宋体" w:cs="宋体"/>
          <w:sz w:val="32"/>
          <w:szCs w:val="32"/>
        </w:rPr>
        <w:t>十一、政府采购支出情况说明</w:t>
      </w:r>
    </w:p>
    <w:p>
      <w:pPr>
        <w:ind w:firstLine="640" w:firstLineChars="200"/>
        <w:jc w:val="left"/>
        <w:rPr>
          <w:rFonts w:hint="eastAsia" w:ascii="宋体" w:hAnsi="宋体" w:cs="宋体"/>
          <w:sz w:val="32"/>
          <w:szCs w:val="32"/>
        </w:rPr>
      </w:pPr>
      <w:r>
        <w:rPr>
          <w:rFonts w:hint="eastAsia" w:ascii="宋体" w:hAnsi="宋体" w:cs="宋体"/>
          <w:sz w:val="32"/>
          <w:szCs w:val="32"/>
        </w:rPr>
        <w:t>十二、国有资产占用情况说明</w:t>
      </w:r>
    </w:p>
    <w:p>
      <w:pPr>
        <w:jc w:val="left"/>
        <w:rPr>
          <w:rFonts w:hint="eastAsia" w:ascii="黑体" w:hAnsi="黑体" w:eastAsia="黑体" w:cs="黑体"/>
          <w:sz w:val="32"/>
          <w:szCs w:val="32"/>
        </w:rPr>
      </w:pPr>
      <w:r>
        <w:rPr>
          <w:rFonts w:hint="eastAsia" w:ascii="黑体" w:hAnsi="黑体" w:eastAsia="黑体" w:cs="黑体"/>
          <w:sz w:val="32"/>
          <w:szCs w:val="32"/>
        </w:rPr>
        <w:t>第四部分　　名词解释</w:t>
      </w:r>
    </w:p>
    <w:p>
      <w:pPr>
        <w:ind w:firstLine="640" w:firstLineChars="200"/>
        <w:jc w:val="left"/>
        <w:rPr>
          <w:rFonts w:ascii="宋体" w:hAnsi="宋体" w:cs="宋体"/>
          <w:sz w:val="32"/>
          <w:szCs w:val="32"/>
        </w:rPr>
      </w:pPr>
    </w:p>
    <w:p>
      <w:pPr>
        <w:jc w:val="left"/>
        <w:rPr>
          <w:rFonts w:hint="eastAsia" w:ascii="黑体" w:hAnsi="黑体" w:eastAsia="黑体" w:cs="黑体"/>
          <w:sz w:val="32"/>
          <w:szCs w:val="32"/>
        </w:rPr>
        <w:sectPr>
          <w:footerReference r:id="rId3" w:type="default"/>
          <w:footerReference r:id="rId4" w:type="even"/>
          <w:pgSz w:w="11906" w:h="16838"/>
          <w:pgMar w:top="1440" w:right="1531" w:bottom="1440" w:left="1587" w:header="850" w:footer="992" w:gutter="0"/>
          <w:pgNumType w:fmt="numberInDash" w:start="1"/>
          <w:cols w:space="720" w:num="1"/>
          <w:docGrid w:type="lines" w:linePitch="317" w:charSpace="0"/>
        </w:sect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center"/>
        <w:outlineLvl w:val="0"/>
        <w:rPr>
          <w:rFonts w:hint="eastAsia" w:ascii="黑体" w:hAnsi="宋体" w:eastAsia="黑体" w:cs="宋体"/>
          <w:kern w:val="0"/>
          <w:sz w:val="28"/>
          <w:szCs w:val="28"/>
        </w:rPr>
      </w:pPr>
      <w:r>
        <w:rPr>
          <w:rFonts w:hint="eastAsia" w:ascii="黑体" w:hAnsi="黑体" w:eastAsia="黑体" w:cs="黑体"/>
          <w:sz w:val="48"/>
          <w:szCs w:val="48"/>
        </w:rPr>
        <w:t>第一部分   洛龙区服务业发展局概况</w:t>
      </w: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sectPr>
          <w:pgSz w:w="11906" w:h="16838"/>
          <w:pgMar w:top="1440" w:right="1800" w:bottom="1440" w:left="1800" w:header="720" w:footer="720" w:gutter="0"/>
          <w:pgNumType w:fmt="numberInDash"/>
          <w:cols w:space="720" w:num="1"/>
          <w:docGrid w:type="lines" w:linePitch="312" w:charSpace="0"/>
        </w:sectPr>
      </w:pPr>
    </w:p>
    <w:p>
      <w:pPr>
        <w:widowControl/>
        <w:ind w:firstLine="640" w:firstLineChars="200"/>
        <w:jc w:val="left"/>
        <w:outlineLvl w:val="1"/>
        <w:rPr>
          <w:rFonts w:hint="eastAsia" w:ascii="黑体" w:hAnsi="黑体" w:eastAsia="黑体" w:cs="黑体"/>
          <w:kern w:val="0"/>
          <w:sz w:val="32"/>
          <w:szCs w:val="32"/>
        </w:rPr>
      </w:pPr>
      <w:r>
        <w:rPr>
          <w:rFonts w:hint="eastAsia" w:ascii="黑体" w:hAnsi="黑体" w:eastAsia="黑体" w:cs="黑体"/>
          <w:kern w:val="0"/>
          <w:sz w:val="32"/>
          <w:szCs w:val="32"/>
        </w:rPr>
        <w:t>一、部门</w:t>
      </w:r>
      <w:r>
        <w:rPr>
          <w:rFonts w:hint="eastAsia" w:ascii="黑体" w:hAnsi="黑体" w:eastAsia="黑体" w:cs="黑体"/>
          <w:bCs/>
          <w:sz w:val="32"/>
          <w:szCs w:val="32"/>
        </w:rPr>
        <w:t>职责</w:t>
      </w:r>
    </w:p>
    <w:p>
      <w:pPr>
        <w:spacing w:line="60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（一）研究提出全区服务业的发展战略、政策，加快服 </w:t>
      </w:r>
    </w:p>
    <w:p>
      <w:pPr>
        <w:spacing w:line="600" w:lineRule="exac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务业对外开放步伐，进一步完善服务业体系建设。 </w:t>
      </w:r>
    </w:p>
    <w:p>
      <w:pPr>
        <w:spacing w:line="60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（二）加快服务业标准化建设。负责制订服务业发展的 市场准入制度，制定和落实各项优惠扶持政策，推进服务业 </w:t>
      </w:r>
    </w:p>
    <w:p>
      <w:pPr>
        <w:spacing w:line="600" w:lineRule="exac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体制和机制创新。 </w:t>
      </w:r>
    </w:p>
    <w:p>
      <w:pPr>
        <w:spacing w:line="60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（三）完善项目推进制度，建立健全服务业重点项目责 </w:t>
      </w:r>
    </w:p>
    <w:p>
      <w:pPr>
        <w:spacing w:line="600" w:lineRule="exac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任制，引导资金投向重点发展产业。 </w:t>
      </w:r>
    </w:p>
    <w:p>
      <w:pPr>
        <w:spacing w:line="60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（四）优化发展环境，营造发展氛围，协调解决服务业 </w:t>
      </w:r>
    </w:p>
    <w:p>
      <w:pPr>
        <w:spacing w:line="600" w:lineRule="exac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发展中的重大问题。 </w:t>
      </w:r>
    </w:p>
    <w:p>
      <w:pPr>
        <w:spacing w:line="600" w:lineRule="exact"/>
        <w:ind w:firstLine="640" w:firstLineChars="200"/>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（五）编制服务业发展的总体规划，确定年度发展目标， </w:t>
      </w:r>
    </w:p>
    <w:p>
      <w:pPr>
        <w:spacing w:line="600" w:lineRule="exact"/>
        <w:rPr>
          <w:rFonts w:hint="eastAsia" w:ascii="仿宋_GB2312" w:hAnsi="宋体" w:eastAsia="仿宋_GB2312" w:cs="宋体"/>
          <w:kern w:val="0"/>
          <w:sz w:val="32"/>
          <w:szCs w:val="32"/>
        </w:rPr>
      </w:pPr>
      <w:r>
        <w:rPr>
          <w:rFonts w:hint="eastAsia" w:ascii="仿宋_GB2312" w:hAnsi="宋体" w:eastAsia="仿宋_GB2312" w:cs="宋体"/>
          <w:kern w:val="0"/>
          <w:sz w:val="32"/>
          <w:szCs w:val="32"/>
        </w:rPr>
        <w:t xml:space="preserve">指导行业部门的服务业工作。 </w:t>
      </w:r>
    </w:p>
    <w:p>
      <w:pPr>
        <w:widowControl/>
        <w:ind w:firstLine="640" w:firstLineChars="200"/>
        <w:jc w:val="left"/>
        <w:outlineLvl w:val="1"/>
        <w:rPr>
          <w:rFonts w:hint="eastAsia" w:ascii="黑体" w:hAnsi="黑体" w:eastAsia="黑体" w:cs="黑体"/>
          <w:kern w:val="0"/>
          <w:sz w:val="32"/>
          <w:szCs w:val="32"/>
        </w:rPr>
      </w:pPr>
      <w:r>
        <w:rPr>
          <w:rFonts w:hint="eastAsia" w:ascii="黑体" w:hAnsi="黑体" w:eastAsia="黑体" w:cs="黑体"/>
          <w:kern w:val="0"/>
          <w:sz w:val="32"/>
          <w:szCs w:val="32"/>
        </w:rPr>
        <w:t>二、机构设置</w:t>
      </w:r>
    </w:p>
    <w:p>
      <w:pPr>
        <w:widowControl/>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洛龙区服务业发展局内设机构</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 xml:space="preserve">个，包括：综合服务股、 </w:t>
      </w:r>
    </w:p>
    <w:p>
      <w:pPr>
        <w:widowControl/>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综合办公室、发展规划股、管理服务股、楼宇经济办。</w:t>
      </w:r>
    </w:p>
    <w:p>
      <w:pPr>
        <w:widowControl/>
        <w:ind w:firstLine="640" w:firstLineChars="200"/>
        <w:jc w:val="left"/>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从决算单位构成</w:t>
      </w:r>
      <w:bookmarkStart w:id="0" w:name="_GoBack"/>
      <w:bookmarkEnd w:id="0"/>
      <w:r>
        <w:rPr>
          <w:rFonts w:hint="eastAsia" w:ascii="仿宋_GB2312" w:hAnsi="仿宋_GB2312" w:eastAsia="仿宋_GB2312" w:cs="仿宋_GB2312"/>
          <w:kern w:val="0"/>
          <w:sz w:val="32"/>
          <w:szCs w:val="32"/>
          <w:lang w:val="en-US" w:eastAsia="zh-CN"/>
        </w:rPr>
        <w:t>看，洛龙区服务业发展局部门决算包括：本级决算。</w:t>
      </w:r>
    </w:p>
    <w:p>
      <w:pPr>
        <w:widowControl/>
        <w:ind w:firstLine="640" w:firstLineChars="200"/>
        <w:jc w:val="left"/>
        <w:rPr>
          <w:rFonts w:hint="eastAsia"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本决算为汇总决算，纳入本部门2020年度部门决算编制范围的单位共1个。其中二级预算单位0个，具体是：</w:t>
      </w:r>
    </w:p>
    <w:p>
      <w:pPr>
        <w:widowControl/>
        <w:ind w:firstLine="640" w:firstLineChars="200"/>
        <w:jc w:val="left"/>
        <w:rPr>
          <w:rFonts w:hint="eastAsia" w:ascii="黑体" w:hAnsi="宋体" w:eastAsia="黑体" w:cs="宋体"/>
          <w:kern w:val="0"/>
          <w:sz w:val="28"/>
          <w:szCs w:val="28"/>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kern w:val="0"/>
          <w:sz w:val="32"/>
          <w:szCs w:val="32"/>
          <w:lang w:eastAsia="zh-CN"/>
        </w:rPr>
        <w:t>洛龙区服务业发展局</w:t>
      </w:r>
      <w:r>
        <w:rPr>
          <w:rFonts w:hint="eastAsia" w:ascii="仿宋_GB2312" w:hAnsi="仿宋_GB2312" w:eastAsia="仿宋_GB2312" w:cs="仿宋_GB2312"/>
          <w:kern w:val="0"/>
          <w:sz w:val="32"/>
          <w:szCs w:val="32"/>
        </w:rPr>
        <w:t>本级</w:t>
      </w: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jc w:val="center"/>
        <w:outlineLvl w:val="0"/>
        <w:rPr>
          <w:rFonts w:hint="eastAsia" w:ascii="黑体" w:hAnsi="宋体" w:eastAsia="黑体" w:cs="宋体"/>
          <w:kern w:val="0"/>
          <w:sz w:val="28"/>
          <w:szCs w:val="28"/>
        </w:rPr>
        <w:sectPr>
          <w:pgSz w:w="11906" w:h="16838"/>
          <w:pgMar w:top="1440" w:right="1800" w:bottom="1440" w:left="1800" w:header="720" w:footer="720" w:gutter="0"/>
          <w:pgNumType w:fmt="numberInDash"/>
          <w:cols w:space="720" w:num="1"/>
          <w:docGrid w:type="lines" w:linePitch="312" w:charSpace="0"/>
        </w:sectPr>
      </w:pPr>
      <w:r>
        <w:rPr>
          <w:rFonts w:hint="eastAsia" w:ascii="黑体" w:hAnsi="黑体" w:eastAsia="黑体" w:cs="黑体"/>
          <w:sz w:val="48"/>
          <w:szCs w:val="48"/>
        </w:rPr>
        <w:t xml:space="preserve">第二部分  </w:t>
      </w:r>
      <w:r>
        <w:rPr>
          <w:rFonts w:hint="eastAsia" w:ascii="黑体" w:hAnsi="黑体" w:eastAsia="黑体" w:cs="黑体"/>
          <w:sz w:val="48"/>
          <w:szCs w:val="48"/>
          <w:lang w:eastAsia="zh-CN"/>
        </w:rPr>
        <w:t>2020</w:t>
      </w:r>
      <w:r>
        <w:rPr>
          <w:rFonts w:hint="eastAsia" w:ascii="黑体" w:hAnsi="黑体" w:eastAsia="黑体" w:cs="黑体"/>
          <w:sz w:val="48"/>
          <w:szCs w:val="48"/>
        </w:rPr>
        <w:t>年度部门决算表</w:t>
      </w:r>
    </w:p>
    <w:p>
      <w:pPr>
        <w:jc w:val="center"/>
        <w:rPr>
          <w:rFonts w:hint="eastAsia" w:ascii="仿宋_GB2312" w:hAnsi="仿宋_GB2312" w:eastAsia="仿宋_GB2312" w:cs="仿宋_GB2312"/>
          <w:sz w:val="32"/>
          <w:szCs w:val="32"/>
        </w:rPr>
      </w:pPr>
      <w:r>
        <w:drawing>
          <wp:inline distT="0" distB="0" distL="114300" distR="114300">
            <wp:extent cx="8793480" cy="5304790"/>
            <wp:effectExtent l="0" t="0" r="7620" b="1016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pic:cNvPicPr>
                      <a:picLocks noChangeAspect="1"/>
                    </pic:cNvPicPr>
                  </pic:nvPicPr>
                  <pic:blipFill>
                    <a:blip r:embed="rId6"/>
                    <a:stretch>
                      <a:fillRect/>
                    </a:stretch>
                  </pic:blipFill>
                  <pic:spPr>
                    <a:xfrm>
                      <a:off x="0" y="0"/>
                      <a:ext cx="8793480" cy="530479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p>
      <w:pPr>
        <w:rPr>
          <w:rFonts w:hint="eastAsia" w:ascii="仿宋_GB2312" w:hAnsi="仿宋_GB2312" w:eastAsia="仿宋_GB2312" w:cs="仿宋_GB2312"/>
          <w:sz w:val="32"/>
          <w:szCs w:val="32"/>
        </w:rPr>
      </w:pPr>
      <w:r>
        <w:drawing>
          <wp:inline distT="0" distB="0" distL="114300" distR="114300">
            <wp:extent cx="8861425" cy="5196840"/>
            <wp:effectExtent l="0" t="0" r="15875" b="381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
                    <a:stretch>
                      <a:fillRect/>
                    </a:stretch>
                  </pic:blipFill>
                  <pic:spPr>
                    <a:xfrm>
                      <a:off x="0" y="0"/>
                      <a:ext cx="8861425" cy="519684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p>
    <w:p>
      <w:pPr>
        <w:rPr>
          <w:rFonts w:hint="eastAsia"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r>
        <w:drawing>
          <wp:inline distT="0" distB="0" distL="114300" distR="114300">
            <wp:extent cx="8853805" cy="5300980"/>
            <wp:effectExtent l="0" t="0" r="4445" b="1397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8853805" cy="5300980"/>
                    </a:xfrm>
                    <a:prstGeom prst="rect">
                      <a:avLst/>
                    </a:prstGeom>
                    <a:noFill/>
                    <a:ln>
                      <a:noFill/>
                    </a:ln>
                  </pic:spPr>
                </pic:pic>
              </a:graphicData>
            </a:graphic>
          </wp:inline>
        </w:drawing>
      </w:r>
    </w:p>
    <w:p>
      <w:pPr>
        <w:rPr>
          <w:rFonts w:hint="eastAsia"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r>
        <w:drawing>
          <wp:inline distT="0" distB="0" distL="114300" distR="114300">
            <wp:extent cx="8861425" cy="5293360"/>
            <wp:effectExtent l="0" t="0" r="15875" b="254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9"/>
                    <a:stretch>
                      <a:fillRect/>
                    </a:stretch>
                  </pic:blipFill>
                  <pic:spPr>
                    <a:xfrm>
                      <a:off x="0" y="0"/>
                      <a:ext cx="8861425" cy="529336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r>
        <w:drawing>
          <wp:inline distT="0" distB="0" distL="114300" distR="114300">
            <wp:extent cx="8740140" cy="5270500"/>
            <wp:effectExtent l="0" t="0" r="3810" b="635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0"/>
                    <a:stretch>
                      <a:fillRect/>
                    </a:stretch>
                  </pic:blipFill>
                  <pic:spPr>
                    <a:xfrm>
                      <a:off x="0" y="0"/>
                      <a:ext cx="8740140" cy="527050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rPr>
        <w:sectPr>
          <w:pgSz w:w="16838" w:h="11906" w:orient="landscape"/>
          <w:pgMar w:top="1800" w:right="1440" w:bottom="1800" w:left="1440" w:header="720" w:footer="720" w:gutter="0"/>
          <w:pgNumType w:fmt="numberInDash"/>
          <w:cols w:space="720" w:num="1"/>
          <w:docGrid w:type="lines" w:linePitch="312" w:charSpace="0"/>
        </w:sectPr>
      </w:pPr>
      <w:r>
        <w:drawing>
          <wp:inline distT="0" distB="0" distL="114300" distR="114300">
            <wp:extent cx="8799830" cy="5300980"/>
            <wp:effectExtent l="0" t="0" r="1270" b="1397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8799830" cy="5300980"/>
                    </a:xfrm>
                    <a:prstGeom prst="rect">
                      <a:avLst/>
                    </a:prstGeom>
                    <a:noFill/>
                    <a:ln>
                      <a:noFill/>
                    </a:ln>
                  </pic:spPr>
                </pic:pic>
              </a:graphicData>
            </a:graphic>
          </wp:inline>
        </w:drawing>
      </w:r>
    </w:p>
    <w:p>
      <w:pPr>
        <w:rPr>
          <w:rFonts w:hint="eastAsia" w:ascii="仿宋_GB2312" w:hAnsi="仿宋_GB2312" w:eastAsia="仿宋_GB2312" w:cs="仿宋_GB2312"/>
          <w:sz w:val="32"/>
          <w:szCs w:val="32"/>
        </w:rPr>
        <w:sectPr>
          <w:pgSz w:w="16838" w:h="11906" w:orient="landscape"/>
          <w:pgMar w:top="2098" w:right="1474" w:bottom="1984" w:left="1587" w:header="720" w:footer="720" w:gutter="0"/>
          <w:pgNumType w:fmt="numberInDash"/>
          <w:cols w:space="720" w:num="1"/>
          <w:docGrid w:type="lines" w:linePitch="312" w:charSpace="0"/>
        </w:sectPr>
      </w:pPr>
      <w:r>
        <w:drawing>
          <wp:inline distT="0" distB="0" distL="114300" distR="114300">
            <wp:extent cx="8859520" cy="2207260"/>
            <wp:effectExtent l="0" t="0" r="5080" b="254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8859520" cy="2207260"/>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highlight w:val="none"/>
        </w:rPr>
      </w:pPr>
      <w:r>
        <w:drawing>
          <wp:inline distT="0" distB="0" distL="114300" distR="114300">
            <wp:extent cx="8860155" cy="3020695"/>
            <wp:effectExtent l="0" t="0" r="17145" b="825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8860155" cy="3020695"/>
                    </a:xfrm>
                    <a:prstGeom prst="rect">
                      <a:avLst/>
                    </a:prstGeom>
                    <a:noFill/>
                    <a:ln>
                      <a:noFill/>
                    </a:ln>
                  </pic:spPr>
                </pic:pic>
              </a:graphicData>
            </a:graphic>
          </wp:inline>
        </w:drawing>
      </w:r>
    </w:p>
    <w:p>
      <w:pPr>
        <w:jc w:val="left"/>
        <w:rPr>
          <w:rFonts w:hint="eastAsia" w:ascii="仿宋_GB2312" w:hAnsi="仿宋_GB2312" w:eastAsia="仿宋_GB2312" w:cs="仿宋_GB2312"/>
          <w:sz w:val="32"/>
          <w:szCs w:val="32"/>
          <w:highlight w:val="yellow"/>
        </w:rPr>
        <w:sectPr>
          <w:pgSz w:w="16838" w:h="11906" w:orient="landscape"/>
          <w:pgMar w:top="1800" w:right="1440" w:bottom="1800" w:left="1440" w:header="720" w:footer="720" w:gutter="0"/>
          <w:pgNumType w:fmt="numberInDash"/>
          <w:cols w:space="720" w:num="1"/>
          <w:docGrid w:type="lines" w:linePitch="312" w:charSpace="0"/>
        </w:sectPr>
      </w:pPr>
      <w:r>
        <w:rPr>
          <w:rFonts w:hint="eastAsia" w:ascii="仿宋_GB2312" w:hAnsi="仿宋_GB2312" w:eastAsia="仿宋_GB2312" w:cs="仿宋_GB2312"/>
          <w:sz w:val="32"/>
          <w:szCs w:val="32"/>
          <w:highlight w:val="none"/>
        </w:rPr>
        <w:t>说明：我部门没有政府性基金收入，也没有使用政府性基金安排的支出，故本表无数据。</w:t>
      </w: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jc w:val="center"/>
        <w:outlineLvl w:val="0"/>
        <w:rPr>
          <w:rFonts w:hint="eastAsia" w:ascii="黑体" w:hAnsi="黑体" w:eastAsia="黑体" w:cs="黑体"/>
          <w:sz w:val="48"/>
          <w:szCs w:val="48"/>
        </w:rPr>
      </w:pPr>
      <w:r>
        <w:rPr>
          <w:rFonts w:hint="eastAsia" w:ascii="黑体" w:hAnsi="黑体" w:eastAsia="黑体" w:cs="黑体"/>
          <w:sz w:val="48"/>
          <w:szCs w:val="48"/>
        </w:rPr>
        <w:t xml:space="preserve">第三部分  </w:t>
      </w:r>
      <w:r>
        <w:rPr>
          <w:rFonts w:hint="eastAsia" w:ascii="黑体" w:hAnsi="黑体" w:eastAsia="黑体" w:cs="黑体"/>
          <w:sz w:val="48"/>
          <w:szCs w:val="48"/>
          <w:lang w:eastAsia="zh-CN"/>
        </w:rPr>
        <w:t>2020</w:t>
      </w:r>
      <w:r>
        <w:rPr>
          <w:rFonts w:hint="eastAsia" w:ascii="黑体" w:hAnsi="黑体" w:eastAsia="黑体" w:cs="黑体"/>
          <w:sz w:val="48"/>
          <w:szCs w:val="48"/>
        </w:rPr>
        <w:t>年度部门决算情况说明</w:t>
      </w:r>
    </w:p>
    <w:p>
      <w:pPr>
        <w:widowControl/>
        <w:jc w:val="left"/>
        <w:rPr>
          <w:rFonts w:hint="eastAsia" w:ascii="黑体" w:hAnsi="黑体" w:eastAsia="黑体" w:cs="黑体"/>
          <w:sz w:val="48"/>
          <w:szCs w:val="48"/>
        </w:rPr>
        <w:sectPr>
          <w:pgSz w:w="11906" w:h="16838"/>
          <w:pgMar w:top="1440" w:right="1800" w:bottom="1440" w:left="1800" w:header="720" w:footer="720" w:gutter="0"/>
          <w:pgNumType w:fmt="numberInDash"/>
          <w:cols w:space="720" w:num="1"/>
          <w:docGrid w:type="lines" w:linePitch="312" w:charSpace="0"/>
        </w:sectPr>
      </w:pPr>
    </w:p>
    <w:p>
      <w:pPr>
        <w:widowControl/>
        <w:spacing w:line="59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一、收入支出决算总体情况说明</w:t>
      </w:r>
    </w:p>
    <w:p>
      <w:pPr>
        <w:widowControl/>
        <w:spacing w:line="590" w:lineRule="exact"/>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年度收、支总计均为</w:t>
      </w:r>
      <w:r>
        <w:rPr>
          <w:rFonts w:hint="eastAsia" w:ascii="仿宋_GB2312" w:hAnsi="仿宋_GB2312" w:eastAsia="仿宋_GB2312" w:cs="仿宋_GB2312"/>
          <w:sz w:val="32"/>
          <w:szCs w:val="32"/>
          <w:lang w:val="en-US" w:eastAsia="zh-CN"/>
        </w:rPr>
        <w:t>2053.47</w:t>
      </w:r>
      <w:r>
        <w:rPr>
          <w:rFonts w:hint="eastAsia" w:ascii="仿宋_GB2312" w:hAnsi="仿宋_GB2312" w:eastAsia="仿宋_GB2312" w:cs="仿宋_GB2312"/>
          <w:sz w:val="32"/>
          <w:szCs w:val="32"/>
        </w:rPr>
        <w:t>万元。与上年度相比，收、支总计各减少</w:t>
      </w:r>
      <w:r>
        <w:rPr>
          <w:rFonts w:hint="eastAsia" w:ascii="仿宋_GB2312" w:hAnsi="仿宋_GB2312" w:eastAsia="仿宋_GB2312" w:cs="仿宋_GB2312"/>
          <w:sz w:val="32"/>
          <w:szCs w:val="32"/>
          <w:lang w:val="en-US" w:eastAsia="zh-CN"/>
        </w:rPr>
        <w:t>395.35</w:t>
      </w:r>
      <w:r>
        <w:rPr>
          <w:rFonts w:hint="eastAsia" w:ascii="仿宋_GB2312" w:hAnsi="仿宋_GB2312" w:eastAsia="仿宋_GB2312" w:cs="仿宋_GB2312"/>
          <w:sz w:val="32"/>
          <w:szCs w:val="32"/>
        </w:rPr>
        <w:t>万元，下降</w:t>
      </w:r>
      <w:r>
        <w:rPr>
          <w:rFonts w:hint="eastAsia" w:ascii="仿宋_GB2312" w:hAnsi="仿宋_GB2312" w:eastAsia="仿宋_GB2312" w:cs="仿宋_GB2312"/>
          <w:sz w:val="32"/>
          <w:szCs w:val="32"/>
          <w:lang w:val="en-US" w:eastAsia="zh-CN"/>
        </w:rPr>
        <w:t>16.17</w:t>
      </w:r>
      <w:r>
        <w:rPr>
          <w:rFonts w:hint="eastAsia" w:ascii="仿宋_GB2312" w:hAnsi="仿宋_GB2312" w:eastAsia="仿宋_GB2312" w:cs="仿宋_GB2312"/>
          <w:sz w:val="32"/>
          <w:szCs w:val="32"/>
        </w:rPr>
        <w:t>%。主要原因是财政紧缩，服务业政策兑付工作未全部完成。</w:t>
      </w:r>
    </w:p>
    <w:p>
      <w:pPr>
        <w:widowControl/>
        <w:spacing w:line="59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二、收入决算情况说明</w:t>
      </w:r>
    </w:p>
    <w:p>
      <w:pPr>
        <w:widowControl/>
        <w:spacing w:line="590" w:lineRule="exact"/>
        <w:ind w:firstLine="640" w:firstLineChars="200"/>
        <w:rPr>
          <w:rFonts w:hint="eastAsia" w:ascii="黑体" w:hAnsi="黑体" w:eastAsia="黑体" w:cs="黑体"/>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年度收入合计</w:t>
      </w:r>
      <w:r>
        <w:rPr>
          <w:rFonts w:hint="eastAsia" w:ascii="仿宋_GB2312" w:hAnsi="仿宋_GB2312" w:eastAsia="仿宋_GB2312" w:cs="仿宋_GB2312"/>
          <w:sz w:val="32"/>
          <w:szCs w:val="32"/>
          <w:lang w:val="en-US" w:eastAsia="zh-CN"/>
        </w:rPr>
        <w:t>2053.47</w:t>
      </w:r>
      <w:r>
        <w:rPr>
          <w:rFonts w:hint="eastAsia" w:ascii="仿宋_GB2312" w:hAnsi="仿宋_GB2312" w:eastAsia="仿宋_GB2312" w:cs="仿宋_GB2312"/>
          <w:sz w:val="32"/>
          <w:szCs w:val="32"/>
        </w:rPr>
        <w:t>万元，其中：财政拨款收入</w:t>
      </w:r>
      <w:r>
        <w:rPr>
          <w:rFonts w:hint="eastAsia" w:ascii="仿宋_GB2312" w:hAnsi="仿宋_GB2312" w:eastAsia="仿宋_GB2312" w:cs="仿宋_GB2312"/>
          <w:sz w:val="32"/>
          <w:szCs w:val="32"/>
          <w:lang w:val="en-US" w:eastAsia="zh-CN"/>
        </w:rPr>
        <w:t>2053.47</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p>
    <w:p>
      <w:pPr>
        <w:widowControl/>
        <w:spacing w:line="59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三、支出决算情况说明</w:t>
      </w:r>
    </w:p>
    <w:p>
      <w:pPr>
        <w:widowControl/>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年度支出合计</w:t>
      </w:r>
      <w:r>
        <w:rPr>
          <w:rFonts w:hint="eastAsia" w:ascii="仿宋_GB2312" w:hAnsi="仿宋_GB2312" w:eastAsia="仿宋_GB2312" w:cs="仿宋_GB2312"/>
          <w:sz w:val="32"/>
          <w:szCs w:val="32"/>
          <w:lang w:val="en-US" w:eastAsia="zh-CN"/>
        </w:rPr>
        <w:t>1362.99</w:t>
      </w:r>
      <w:r>
        <w:rPr>
          <w:rFonts w:hint="eastAsia" w:ascii="仿宋_GB2312" w:hAnsi="仿宋_GB2312" w:eastAsia="仿宋_GB2312" w:cs="仿宋_GB2312"/>
          <w:sz w:val="32"/>
          <w:szCs w:val="32"/>
        </w:rPr>
        <w:t>万元，其中：基本支出</w:t>
      </w:r>
      <w:r>
        <w:rPr>
          <w:rFonts w:hint="eastAsia" w:ascii="仿宋_GB2312" w:hAnsi="仿宋_GB2312" w:eastAsia="仿宋_GB2312" w:cs="仿宋_GB2312"/>
          <w:sz w:val="32"/>
          <w:szCs w:val="32"/>
          <w:lang w:val="en-US" w:eastAsia="zh-CN"/>
        </w:rPr>
        <w:t>362.92</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26.63</w:t>
      </w:r>
      <w:r>
        <w:rPr>
          <w:rFonts w:hint="eastAsia" w:ascii="仿宋_GB2312" w:hAnsi="仿宋_GB2312" w:eastAsia="仿宋_GB2312" w:cs="仿宋_GB2312"/>
          <w:sz w:val="32"/>
          <w:szCs w:val="32"/>
        </w:rPr>
        <w:t>%；项目支出</w:t>
      </w:r>
      <w:r>
        <w:rPr>
          <w:rFonts w:hint="eastAsia" w:ascii="仿宋_GB2312" w:hAnsi="仿宋_GB2312" w:eastAsia="仿宋_GB2312" w:cs="仿宋_GB2312"/>
          <w:sz w:val="32"/>
          <w:szCs w:val="32"/>
          <w:lang w:val="en-US" w:eastAsia="zh-CN"/>
        </w:rPr>
        <w:t>1000.07</w:t>
      </w:r>
      <w:r>
        <w:rPr>
          <w:rFonts w:hint="eastAsia" w:ascii="仿宋_GB2312" w:hAnsi="仿宋_GB2312" w:eastAsia="仿宋_GB2312" w:cs="仿宋_GB2312"/>
          <w:sz w:val="32"/>
          <w:szCs w:val="32"/>
        </w:rPr>
        <w:t>万元，占</w:t>
      </w:r>
      <w:r>
        <w:rPr>
          <w:rFonts w:hint="eastAsia" w:ascii="仿宋_GB2312" w:hAnsi="仿宋_GB2312" w:eastAsia="仿宋_GB2312" w:cs="仿宋_GB2312"/>
          <w:sz w:val="32"/>
          <w:szCs w:val="32"/>
          <w:lang w:val="en-US" w:eastAsia="zh-CN"/>
        </w:rPr>
        <w:t>73.37</w:t>
      </w:r>
      <w:r>
        <w:rPr>
          <w:rFonts w:hint="eastAsia" w:ascii="仿宋_GB2312" w:hAnsi="仿宋_GB2312" w:eastAsia="仿宋_GB2312" w:cs="仿宋_GB2312"/>
          <w:sz w:val="32"/>
          <w:szCs w:val="32"/>
        </w:rPr>
        <w:t>%。</w:t>
      </w:r>
    </w:p>
    <w:p>
      <w:pPr>
        <w:widowControl/>
        <w:spacing w:line="59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四、财政拨款收入支出决算总体情况说明</w:t>
      </w:r>
    </w:p>
    <w:p>
      <w:pPr>
        <w:widowControl/>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年度财政拨款收、支总计均为</w:t>
      </w:r>
      <w:r>
        <w:rPr>
          <w:rFonts w:hint="eastAsia" w:ascii="仿宋_GB2312" w:hAnsi="仿宋_GB2312" w:eastAsia="仿宋_GB2312" w:cs="仿宋_GB2312"/>
          <w:sz w:val="32"/>
          <w:szCs w:val="32"/>
          <w:lang w:val="en-US" w:eastAsia="zh-CN"/>
        </w:rPr>
        <w:t>2053.47</w:t>
      </w:r>
      <w:r>
        <w:rPr>
          <w:rFonts w:hint="eastAsia" w:ascii="仿宋_GB2312" w:hAnsi="仿宋_GB2312" w:eastAsia="仿宋_GB2312" w:cs="仿宋_GB2312"/>
          <w:sz w:val="32"/>
          <w:szCs w:val="32"/>
        </w:rPr>
        <w:t>万元。与上年度相比，财政拨款收、支总计各减少</w:t>
      </w:r>
      <w:r>
        <w:rPr>
          <w:rFonts w:hint="eastAsia" w:ascii="仿宋_GB2312" w:hAnsi="仿宋_GB2312" w:eastAsia="仿宋_GB2312" w:cs="仿宋_GB2312"/>
          <w:sz w:val="32"/>
          <w:szCs w:val="32"/>
          <w:lang w:val="en-US" w:eastAsia="zh-CN"/>
        </w:rPr>
        <w:t>395.88</w:t>
      </w:r>
      <w:r>
        <w:rPr>
          <w:rFonts w:hint="eastAsia" w:ascii="仿宋_GB2312" w:hAnsi="仿宋_GB2312" w:eastAsia="仿宋_GB2312" w:cs="仿宋_GB2312"/>
          <w:sz w:val="32"/>
          <w:szCs w:val="32"/>
        </w:rPr>
        <w:t>万元，下降</w:t>
      </w:r>
      <w:r>
        <w:rPr>
          <w:rFonts w:hint="eastAsia" w:ascii="仿宋_GB2312" w:hAnsi="仿宋_GB2312" w:eastAsia="仿宋_GB2312" w:cs="仿宋_GB2312"/>
          <w:sz w:val="32"/>
          <w:szCs w:val="32"/>
          <w:lang w:val="en-US" w:eastAsia="zh-CN"/>
        </w:rPr>
        <w:t>16.17</w:t>
      </w:r>
      <w:r>
        <w:rPr>
          <w:rFonts w:hint="eastAsia" w:ascii="仿宋_GB2312" w:hAnsi="仿宋_GB2312" w:eastAsia="仿宋_GB2312" w:cs="仿宋_GB2312"/>
          <w:sz w:val="32"/>
          <w:szCs w:val="32"/>
        </w:rPr>
        <w:t>%。主要原因是财政紧缩，服务业政策兑付工作未全部完成。</w:t>
      </w:r>
    </w:p>
    <w:p>
      <w:pPr>
        <w:widowControl/>
        <w:spacing w:line="590" w:lineRule="exact"/>
        <w:ind w:firstLine="640" w:firstLineChars="200"/>
        <w:outlineLvl w:val="1"/>
        <w:rPr>
          <w:rFonts w:hint="eastAsia" w:ascii="黑体" w:hAnsi="黑体" w:eastAsia="黑体" w:cs="黑体"/>
          <w:sz w:val="32"/>
          <w:szCs w:val="32"/>
        </w:rPr>
      </w:pPr>
      <w:r>
        <w:rPr>
          <w:rFonts w:hint="eastAsia" w:ascii="黑体" w:hAnsi="黑体" w:eastAsia="黑体" w:cs="黑体"/>
          <w:sz w:val="32"/>
          <w:szCs w:val="32"/>
        </w:rPr>
        <w:t>五、一般公共预算财政拨款支出决算情况说明</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（一）总体情况。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年度一般公共预算财政拨款支出</w:t>
      </w:r>
      <w:r>
        <w:rPr>
          <w:rFonts w:hint="eastAsia" w:ascii="仿宋_GB2312" w:hAnsi="仿宋_GB2312" w:eastAsia="仿宋_GB2312" w:cs="仿宋_GB2312"/>
          <w:sz w:val="32"/>
          <w:szCs w:val="32"/>
          <w:lang w:val="en-US" w:eastAsia="zh-CN"/>
        </w:rPr>
        <w:t>1362.99</w:t>
      </w:r>
      <w:r>
        <w:rPr>
          <w:rFonts w:hint="eastAsia" w:ascii="仿宋_GB2312" w:hAnsi="仿宋_GB2312" w:eastAsia="仿宋_GB2312" w:cs="仿宋_GB2312"/>
          <w:sz w:val="32"/>
          <w:szCs w:val="32"/>
        </w:rPr>
        <w:t>万元，占本年支出合计的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%。与上年度相比，一般公共预算财政拨款支出减少</w:t>
      </w:r>
      <w:r>
        <w:rPr>
          <w:rFonts w:hint="eastAsia" w:ascii="仿宋_GB2312" w:hAnsi="仿宋_GB2312" w:eastAsia="仿宋_GB2312" w:cs="仿宋_GB2312"/>
          <w:sz w:val="32"/>
          <w:szCs w:val="32"/>
          <w:lang w:val="en-US" w:eastAsia="zh-CN"/>
        </w:rPr>
        <w:t>998.68</w:t>
      </w:r>
      <w:r>
        <w:rPr>
          <w:rFonts w:hint="eastAsia" w:ascii="仿宋_GB2312" w:hAnsi="仿宋_GB2312" w:eastAsia="仿宋_GB2312" w:cs="仿宋_GB2312"/>
          <w:sz w:val="32"/>
          <w:szCs w:val="32"/>
        </w:rPr>
        <w:t>万元，下降</w:t>
      </w:r>
      <w:r>
        <w:rPr>
          <w:rFonts w:hint="eastAsia" w:ascii="仿宋_GB2312" w:hAnsi="仿宋_GB2312" w:eastAsia="仿宋_GB2312" w:cs="仿宋_GB2312"/>
          <w:sz w:val="32"/>
          <w:szCs w:val="32"/>
          <w:lang w:val="en-US" w:eastAsia="zh-CN"/>
        </w:rPr>
        <w:t>42.28</w:t>
      </w:r>
      <w:r>
        <w:rPr>
          <w:rFonts w:hint="eastAsia" w:ascii="仿宋_GB2312" w:hAnsi="仿宋_GB2312" w:eastAsia="仿宋_GB2312" w:cs="仿宋_GB2312"/>
          <w:sz w:val="32"/>
          <w:szCs w:val="32"/>
        </w:rPr>
        <w:t>%。主要原因是财政紧缩，服务业政策兑付工作未全部完成。</w:t>
      </w:r>
    </w:p>
    <w:p>
      <w:pPr>
        <w:keepNext w:val="0"/>
        <w:keepLines w:val="0"/>
        <w:pageBreakBefore w:val="0"/>
        <w:widowControl w:val="0"/>
        <w:numPr>
          <w:ilvl w:val="0"/>
          <w:numId w:val="2"/>
        </w:numPr>
        <w:kinsoku/>
        <w:wordWrap/>
        <w:overflowPunct/>
        <w:topLinePunct w:val="0"/>
        <w:autoSpaceDE/>
        <w:autoSpaceDN/>
        <w:bidi w:val="0"/>
        <w:adjustRightInd/>
        <w:snapToGrid/>
        <w:spacing w:line="590" w:lineRule="exact"/>
        <w:ind w:left="-13" w:leftChars="0" w:firstLine="643" w:firstLineChars="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结构情况。</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年度一般公共预算财政拨款支出</w:t>
      </w:r>
      <w:r>
        <w:rPr>
          <w:rFonts w:hint="eastAsia" w:ascii="仿宋_GB2312" w:hAnsi="仿宋_GB2312" w:eastAsia="仿宋_GB2312" w:cs="仿宋_GB2312"/>
          <w:sz w:val="32"/>
          <w:szCs w:val="32"/>
          <w:lang w:val="en-US" w:eastAsia="zh-CN"/>
        </w:rPr>
        <w:t>1362.99</w:t>
      </w:r>
      <w:r>
        <w:rPr>
          <w:rFonts w:hint="eastAsia" w:ascii="仿宋_GB2312" w:hAnsi="仿宋_GB2312" w:eastAsia="仿宋_GB2312" w:cs="仿宋_GB2312"/>
          <w:sz w:val="32"/>
          <w:szCs w:val="32"/>
        </w:rPr>
        <w:t>万元，主要用于以下方面：一般公共服务（类）支出459.34万元，占33.7%；科学技术（类）支出648.14万元，占47.55%；社会保障和就业（类）支出47.26万元，占3.47%；卫生健康（类）支出15.27万元，占1.12%；城乡社区（类）支出4.45万元，占0.33%；资源勘探信息（类）等支出164.43万元，占12.07%；住房保障（类）支出24.1万元，占1.76%。</w:t>
      </w:r>
    </w:p>
    <w:p>
      <w:pPr>
        <w:keepLines/>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（三）具体情况。</w:t>
      </w:r>
    </w:p>
    <w:p>
      <w:pPr>
        <w:keepLines/>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年度一般公共预算财政拨款支出年初预算为</w:t>
      </w:r>
      <w:r>
        <w:rPr>
          <w:rFonts w:hint="eastAsia" w:ascii="仿宋_GB2312" w:hAnsi="仿宋_GB2312" w:eastAsia="仿宋_GB2312" w:cs="仿宋_GB2312"/>
          <w:sz w:val="32"/>
          <w:szCs w:val="32"/>
          <w:lang w:val="en-US" w:eastAsia="zh-CN"/>
        </w:rPr>
        <w:t>655.47</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1362.99</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207.95</w:t>
      </w:r>
      <w:r>
        <w:rPr>
          <w:rFonts w:hint="eastAsia" w:ascii="仿宋_GB2312" w:hAnsi="仿宋_GB2312" w:eastAsia="仿宋_GB2312" w:cs="仿宋_GB2312"/>
          <w:sz w:val="32"/>
          <w:szCs w:val="32"/>
        </w:rPr>
        <w:t>%。其中：</w:t>
      </w:r>
    </w:p>
    <w:p>
      <w:pPr>
        <w:keepLines/>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1．一般公共服务（类）商贸事物（款）国内贸易管理（项）。</w:t>
      </w:r>
      <w:r>
        <w:rPr>
          <w:rFonts w:hint="eastAsia" w:ascii="仿宋_GB2312" w:hAnsi="仿宋_GB2312" w:eastAsia="仿宋_GB2312" w:cs="仿宋_GB2312"/>
          <w:sz w:val="32"/>
          <w:szCs w:val="32"/>
        </w:rPr>
        <w:t>年初预算为</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14.7</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86.48</w:t>
      </w:r>
      <w:r>
        <w:rPr>
          <w:rFonts w:hint="eastAsia" w:ascii="仿宋_GB2312" w:hAnsi="仿宋_GB2312" w:eastAsia="仿宋_GB2312" w:cs="仿宋_GB2312"/>
          <w:sz w:val="32"/>
          <w:szCs w:val="32"/>
        </w:rPr>
        <w:t>%。决算数与年初预算数存在差异的主要原因是严格把控单位经费支出，节省开支。</w:t>
      </w:r>
    </w:p>
    <w:p>
      <w:pPr>
        <w:keepLines/>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2．一般公共服务（类）商贸事物（款）事业运行商贸事务（项）。</w:t>
      </w:r>
      <w:r>
        <w:rPr>
          <w:rFonts w:hint="eastAsia" w:ascii="仿宋_GB2312" w:hAnsi="仿宋_GB2312" w:eastAsia="仿宋_GB2312" w:cs="仿宋_GB2312"/>
          <w:sz w:val="32"/>
          <w:szCs w:val="32"/>
        </w:rPr>
        <w:t>年初预算为</w:t>
      </w:r>
      <w:r>
        <w:rPr>
          <w:rFonts w:hint="eastAsia" w:ascii="仿宋_GB2312" w:hAnsi="仿宋_GB2312" w:eastAsia="仿宋_GB2312" w:cs="仿宋_GB2312"/>
          <w:sz w:val="32"/>
          <w:szCs w:val="32"/>
          <w:lang w:val="en-US" w:eastAsia="zh-CN"/>
        </w:rPr>
        <w:t>517.4</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423.81</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81.92</w:t>
      </w:r>
      <w:r>
        <w:rPr>
          <w:rFonts w:hint="eastAsia" w:ascii="仿宋_GB2312" w:hAnsi="仿宋_GB2312" w:eastAsia="仿宋_GB2312" w:cs="仿宋_GB2312"/>
          <w:sz w:val="32"/>
          <w:szCs w:val="32"/>
        </w:rPr>
        <w:t>%。决算数与年初预算数存在差异的主要原因是严格把控单位经费支出，节省开支。</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3．一般公共服务（类）群众团体事务（款）工会事务（项）。</w:t>
      </w:r>
      <w:r>
        <w:rPr>
          <w:rFonts w:hint="eastAsia" w:ascii="仿宋_GB2312" w:hAnsi="仿宋_GB2312" w:eastAsia="仿宋_GB2312" w:cs="仿宋_GB2312"/>
          <w:color w:val="auto"/>
          <w:sz w:val="32"/>
          <w:szCs w:val="32"/>
          <w:highlight w:val="none"/>
          <w:lang w:val="en-US" w:eastAsia="zh-CN"/>
        </w:rPr>
        <w:t>年初预算为3.58万元，支出决算为2.15万元，完成年初预算的60.06%。决算数与年初预算数存在差异的主要原因是财政缩减。</w:t>
      </w:r>
    </w:p>
    <w:p>
      <w:pPr>
        <w:keepNext w:val="0"/>
        <w:keepLines w:val="0"/>
        <w:pageBreakBefore w:val="0"/>
        <w:widowControl w:val="0"/>
        <w:kinsoku/>
        <w:wordWrap/>
        <w:overflowPunct/>
        <w:topLinePunct w:val="0"/>
        <w:autoSpaceDE/>
        <w:autoSpaceDN/>
        <w:bidi w:val="0"/>
        <w:adjustRightInd/>
        <w:snapToGrid/>
        <w:spacing w:line="59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4．社会保障和就业支出（类）行政事业单位养老支出（款）事业单位离退休（项）。</w:t>
      </w:r>
      <w:r>
        <w:rPr>
          <w:rFonts w:hint="eastAsia" w:ascii="仿宋_GB2312" w:hAnsi="仿宋_GB2312" w:eastAsia="仿宋_GB2312" w:cs="仿宋_GB2312"/>
          <w:color w:val="auto"/>
          <w:sz w:val="32"/>
          <w:szCs w:val="32"/>
          <w:highlight w:val="none"/>
          <w:lang w:val="en-US" w:eastAsia="zh-CN"/>
        </w:rPr>
        <w:t>年初预算为15.34万元，支出决算为9.21万元，完成年初预算的60.29%。决算数与年初预算数存在差异的主要原因是严格把控单位经费支出，节省开支。</w:t>
      </w:r>
    </w:p>
    <w:p>
      <w:pPr>
        <w:keepNext w:val="0"/>
        <w:keepLines/>
        <w:pageBreakBefore w:val="0"/>
        <w:widowControl w:val="0"/>
        <w:kinsoku/>
        <w:wordWrap/>
        <w:overflowPunct/>
        <w:topLinePunct w:val="0"/>
        <w:autoSpaceDE/>
        <w:autoSpaceDN/>
        <w:bidi w:val="0"/>
        <w:adjustRightInd/>
        <w:snapToGrid/>
        <w:spacing w:line="590" w:lineRule="exact"/>
        <w:ind w:left="0" w:leftChars="0" w:right="0" w:rightChars="0" w:firstLine="643" w:firstLineChars="200"/>
        <w:jc w:val="both"/>
        <w:textAlignment w:val="auto"/>
        <w:outlineLvl w:val="9"/>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5．社会保障和就业支出（类）行政事业单位养老支出（款）机关事业单位基本养老保险缴费支出（项）。</w:t>
      </w:r>
      <w:r>
        <w:rPr>
          <w:rFonts w:hint="eastAsia" w:ascii="仿宋_GB2312" w:hAnsi="仿宋_GB2312" w:eastAsia="仿宋_GB2312" w:cs="仿宋_GB2312"/>
          <w:color w:val="auto"/>
          <w:sz w:val="32"/>
          <w:szCs w:val="32"/>
          <w:highlight w:val="none"/>
          <w:lang w:val="en-US" w:eastAsia="zh-CN"/>
        </w:rPr>
        <w:t>年初预算为31.72万元，支出决算为31.56万元，完成年初预算的99.5%。决算数与年初预算数存在差异的主要原因是严格把控单位经费支出，节省开支。</w:t>
      </w:r>
    </w:p>
    <w:p>
      <w:pPr>
        <w:keepNext w:val="0"/>
        <w:keepLines/>
        <w:pageBreakBefore w:val="0"/>
        <w:widowControl w:val="0"/>
        <w:kinsoku/>
        <w:wordWrap/>
        <w:overflowPunct/>
        <w:topLinePunct w:val="0"/>
        <w:autoSpaceDE/>
        <w:autoSpaceDN/>
        <w:bidi w:val="0"/>
        <w:adjustRightInd/>
        <w:snapToGrid/>
        <w:spacing w:line="59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6．卫生健康支出（类）行政事业单位医疗（款）事业单位医疗医疗（项）。</w:t>
      </w:r>
      <w:r>
        <w:rPr>
          <w:rFonts w:hint="eastAsia" w:ascii="仿宋_GB2312" w:hAnsi="仿宋_GB2312" w:eastAsia="仿宋_GB2312" w:cs="仿宋_GB2312"/>
          <w:color w:val="auto"/>
          <w:sz w:val="32"/>
          <w:szCs w:val="32"/>
          <w:highlight w:val="none"/>
          <w:lang w:val="en-US" w:eastAsia="zh-CN"/>
        </w:rPr>
        <w:t>年初预算为19.68万元，支出决算为15.27万元，完成年初预算的77.6%。决算数与年初预算数存在差异的主要原因是严格把控单位经费支出，节省开支。</w:t>
      </w:r>
    </w:p>
    <w:p>
      <w:pPr>
        <w:keepNext w:val="0"/>
        <w:keepLines/>
        <w:pageBreakBefore w:val="0"/>
        <w:widowControl w:val="0"/>
        <w:kinsoku/>
        <w:wordWrap/>
        <w:overflowPunct/>
        <w:topLinePunct w:val="0"/>
        <w:autoSpaceDE/>
        <w:autoSpaceDN/>
        <w:bidi w:val="0"/>
        <w:adjustRightInd/>
        <w:snapToGrid/>
        <w:spacing w:line="590" w:lineRule="exact"/>
        <w:ind w:left="0" w:leftChars="0" w:right="0" w:rightChars="0" w:firstLine="643"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t>7．住房保障支出（类）住房改革支出（款）住房公积金（项）。</w:t>
      </w:r>
      <w:r>
        <w:rPr>
          <w:rFonts w:hint="eastAsia" w:ascii="仿宋_GB2312" w:hAnsi="仿宋_GB2312" w:eastAsia="仿宋_GB2312" w:cs="仿宋_GB2312"/>
          <w:color w:val="auto"/>
          <w:sz w:val="32"/>
          <w:szCs w:val="32"/>
          <w:highlight w:val="none"/>
          <w:lang w:val="en-US" w:eastAsia="zh-CN"/>
        </w:rPr>
        <w:t>年初预算为24.85万元，支出决算为24.1万元，完成年初预算的96.99%。决算数与年初预算数存在差异的主要原因是对单位人员调动。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黑体" w:hAnsi="黑体" w:eastAsia="黑体" w:cs="黑体"/>
          <w:sz w:val="32"/>
          <w:szCs w:val="32"/>
        </w:rPr>
      </w:pPr>
      <w:r>
        <w:rPr>
          <w:rFonts w:hint="eastAsia" w:ascii="黑体" w:hAnsi="黑体" w:eastAsia="黑体" w:cs="黑体"/>
          <w:sz w:val="32"/>
          <w:szCs w:val="32"/>
        </w:rPr>
        <w:t>六、一般公共预算财政拨款基本支出决算情况说明</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年度一般公共预算财政拨款基本支出</w:t>
      </w:r>
      <w:r>
        <w:rPr>
          <w:rFonts w:hint="eastAsia" w:ascii="仿宋_GB2312" w:hAnsi="仿宋_GB2312" w:eastAsia="仿宋_GB2312" w:cs="仿宋_GB2312"/>
          <w:sz w:val="32"/>
          <w:szCs w:val="32"/>
          <w:lang w:val="en-US" w:eastAsia="zh-CN"/>
        </w:rPr>
        <w:t>362.92</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highlight w:val="none"/>
        </w:rPr>
        <w:t>与上年度相比，减少</w:t>
      </w:r>
      <w:r>
        <w:rPr>
          <w:rFonts w:hint="eastAsia" w:ascii="仿宋_GB2312" w:hAnsi="仿宋_GB2312" w:eastAsia="仿宋_GB2312" w:cs="仿宋_GB2312"/>
          <w:sz w:val="32"/>
          <w:szCs w:val="32"/>
          <w:highlight w:val="none"/>
          <w:lang w:val="en-US" w:eastAsia="zh-CN"/>
        </w:rPr>
        <w:t>28.53</w:t>
      </w:r>
      <w:r>
        <w:rPr>
          <w:rFonts w:hint="eastAsia" w:ascii="仿宋_GB2312" w:hAnsi="仿宋_GB2312" w:eastAsia="仿宋_GB2312" w:cs="仿宋_GB2312"/>
          <w:sz w:val="32"/>
          <w:szCs w:val="32"/>
          <w:highlight w:val="none"/>
        </w:rPr>
        <w:t>万元，下降</w:t>
      </w:r>
      <w:r>
        <w:rPr>
          <w:rFonts w:hint="eastAsia" w:ascii="仿宋_GB2312" w:hAnsi="仿宋_GB2312" w:eastAsia="仿宋_GB2312" w:cs="仿宋_GB2312"/>
          <w:sz w:val="32"/>
          <w:szCs w:val="32"/>
          <w:highlight w:val="none"/>
          <w:lang w:val="en-US" w:eastAsia="zh-CN"/>
        </w:rPr>
        <w:t>7.29</w:t>
      </w:r>
      <w:r>
        <w:rPr>
          <w:rFonts w:hint="eastAsia" w:ascii="仿宋_GB2312" w:hAnsi="仿宋_GB2312" w:eastAsia="仿宋_GB2312" w:cs="仿宋_GB2312"/>
          <w:sz w:val="32"/>
          <w:szCs w:val="32"/>
          <w:highlight w:val="none"/>
        </w:rPr>
        <w:t>%，主要原因：主要原因：人员调出。其中：人员经费348.01万元，主要包括：基本工资、津贴补贴、奖金、伙食补助费、绩效工资、机关事业单位基本养老保险缴费、职业年金缴费、职工基本医疗保险缴费、公务员医疗补助缴费、其他社会保障缴费、住房公积金、医疗费、其他工资福利支出；公用经费14.91万元，主要包括：办公费、印刷费、邮电费、差旅费、公务接待费、工会经费、福利费、其他交通费用、税金及附加费用、其他商品和服务支出、办公设备购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黑体" w:hAnsi="黑体" w:eastAsia="黑体" w:cs="黑体"/>
          <w:sz w:val="32"/>
          <w:szCs w:val="32"/>
        </w:rPr>
      </w:pPr>
      <w:r>
        <w:rPr>
          <w:rFonts w:hint="eastAsia" w:ascii="黑体" w:hAnsi="黑体" w:eastAsia="黑体" w:cs="黑体"/>
          <w:sz w:val="32"/>
          <w:szCs w:val="32"/>
        </w:rPr>
        <w:t>七、一般公共预算财政拨款“三公”经费支出决算情况说明</w:t>
      </w:r>
    </w:p>
    <w:p>
      <w:pPr>
        <w:keepLines/>
        <w:pageBreakBefore w:val="0"/>
        <w:widowControl w:val="0"/>
        <w:kinsoku/>
        <w:wordWrap/>
        <w:overflowPunct/>
        <w:topLinePunct w:val="0"/>
        <w:autoSpaceDE/>
        <w:autoSpaceDN/>
        <w:bidi w:val="0"/>
        <w:adjustRightInd/>
        <w:snapToGrid/>
        <w:spacing w:line="590" w:lineRule="exact"/>
        <w:ind w:firstLine="643" w:firstLineChars="200"/>
        <w:textAlignment w:val="auto"/>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（一）“三公”经费财政拨款支出决算总体情况说明。</w:t>
      </w:r>
    </w:p>
    <w:p>
      <w:pPr>
        <w:keepLines/>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年度“三公”经费财政拨款支出预算为</w:t>
      </w:r>
      <w:r>
        <w:rPr>
          <w:rFonts w:hint="eastAsia" w:ascii="仿宋_GB2312" w:hAnsi="仿宋_GB2312" w:eastAsia="仿宋_GB2312" w:cs="仿宋_GB2312"/>
          <w:sz w:val="32"/>
          <w:szCs w:val="32"/>
          <w:lang w:val="en-US" w:eastAsia="zh-CN"/>
        </w:rPr>
        <w:t>5.7</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0.87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15.27</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年度“三公”经费支出决算数与预算数存在差异的主要原因是受疫情影响减少公务接待，导致相关支出减少。。</w:t>
      </w:r>
    </w:p>
    <w:p>
      <w:pPr>
        <w:keepLines/>
        <w:pageBreakBefore w:val="0"/>
        <w:widowControl w:val="0"/>
        <w:kinsoku/>
        <w:wordWrap/>
        <w:overflowPunct/>
        <w:topLinePunct w:val="0"/>
        <w:autoSpaceDE/>
        <w:autoSpaceDN/>
        <w:bidi w:val="0"/>
        <w:adjustRightInd/>
        <w:snapToGrid/>
        <w:spacing w:line="590" w:lineRule="exact"/>
        <w:ind w:firstLine="643" w:firstLineChars="200"/>
        <w:textAlignment w:val="auto"/>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（二）“三公”经费财政拨款支出决算具体情况说明。</w:t>
      </w:r>
    </w:p>
    <w:p>
      <w:pPr>
        <w:keepLines/>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年度“三公”经费财政拨款支出决算中，因公出国（境）费支出决算</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%，占</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%；公务用车购置及运行费支出决算</w:t>
      </w:r>
      <w:r>
        <w:rPr>
          <w:rFonts w:hint="eastAsia" w:ascii="仿宋_GB2312" w:hAnsi="仿宋_GB2312" w:eastAsia="仿宋_GB2312" w:cs="仿宋_GB2312"/>
          <w:sz w:val="32"/>
          <w:szCs w:val="32"/>
          <w:lang w:val="en-US" w:eastAsia="zh-CN"/>
        </w:rPr>
        <w:t>0.57</w:t>
      </w:r>
      <w:r>
        <w:rPr>
          <w:rFonts w:hint="eastAsia" w:ascii="仿宋_GB2312" w:hAnsi="仿宋_GB2312" w:eastAsia="仿宋_GB2312" w:cs="仿宋_GB2312"/>
          <w:sz w:val="32"/>
          <w:szCs w:val="32"/>
        </w:rPr>
        <w:t>万元，完成预算</w:t>
      </w:r>
      <w:r>
        <w:rPr>
          <w:rFonts w:hint="eastAsia" w:ascii="仿宋_GB2312" w:hAnsi="仿宋_GB2312" w:eastAsia="仿宋_GB2312" w:cs="仿宋_GB2312"/>
          <w:sz w:val="32"/>
          <w:szCs w:val="32"/>
          <w:lang w:val="en-US" w:eastAsia="zh-CN"/>
        </w:rPr>
        <w:t>33.53</w:t>
      </w:r>
      <w:r>
        <w:rPr>
          <w:rFonts w:hint="eastAsia" w:ascii="仿宋_GB2312" w:hAnsi="仿宋_GB2312" w:eastAsia="仿宋_GB2312" w:cs="仿宋_GB2312"/>
          <w:sz w:val="32"/>
          <w:szCs w:val="32"/>
        </w:rPr>
        <w:t>%，占</w:t>
      </w:r>
      <w:r>
        <w:rPr>
          <w:rFonts w:hint="eastAsia" w:ascii="仿宋_GB2312" w:hAnsi="仿宋_GB2312" w:eastAsia="仿宋_GB2312" w:cs="仿宋_GB2312"/>
          <w:sz w:val="32"/>
          <w:szCs w:val="32"/>
          <w:lang w:val="en-US" w:eastAsia="zh-CN"/>
        </w:rPr>
        <w:t>65.52</w:t>
      </w:r>
      <w:r>
        <w:rPr>
          <w:rFonts w:hint="eastAsia" w:ascii="仿宋_GB2312" w:hAnsi="仿宋_GB2312" w:eastAsia="仿宋_GB2312" w:cs="仿宋_GB2312"/>
          <w:sz w:val="32"/>
          <w:szCs w:val="32"/>
        </w:rPr>
        <w:t>%；公务接待费支出决算</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%，占</w:t>
      </w:r>
      <w:r>
        <w:rPr>
          <w:rFonts w:hint="eastAsia" w:ascii="仿宋_GB2312" w:hAnsi="仿宋_GB2312" w:eastAsia="仿宋_GB2312" w:cs="仿宋_GB2312"/>
          <w:sz w:val="32"/>
          <w:szCs w:val="32"/>
          <w:lang w:val="en-US" w:eastAsia="zh-CN"/>
        </w:rPr>
        <w:t>34.48</w:t>
      </w:r>
      <w:r>
        <w:rPr>
          <w:rFonts w:hint="eastAsia" w:ascii="仿宋_GB2312" w:hAnsi="仿宋_GB2312" w:eastAsia="仿宋_GB2312" w:cs="仿宋_GB2312"/>
          <w:sz w:val="32"/>
          <w:szCs w:val="32"/>
        </w:rPr>
        <w:t>%。具体情况如下：</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3" w:firstLineChars="200"/>
        <w:textAlignment w:val="auto"/>
        <w:rPr>
          <w:rFonts w:hint="eastAsia"/>
          <w:lang w:val="en-US" w:eastAsia="zh-CN"/>
        </w:rPr>
      </w:pPr>
      <w:r>
        <w:rPr>
          <w:rFonts w:hint="eastAsia" w:ascii="仿宋_GB2312" w:hAnsi="仿宋_GB2312" w:eastAsia="仿宋_GB2312" w:cs="仿宋_GB2312"/>
          <w:b/>
          <w:bCs/>
          <w:sz w:val="32"/>
          <w:szCs w:val="32"/>
          <w:lang w:val="en-US" w:eastAsia="zh-CN"/>
        </w:rPr>
        <w:t xml:space="preserve">1. </w:t>
      </w:r>
      <w:r>
        <w:rPr>
          <w:rFonts w:hint="eastAsia" w:ascii="仿宋_GB2312" w:hAnsi="仿宋_GB2312" w:eastAsia="仿宋_GB2312" w:cs="仿宋_GB2312"/>
          <w:b/>
          <w:bCs/>
          <w:sz w:val="32"/>
          <w:szCs w:val="32"/>
        </w:rPr>
        <w:t>因公出国（境）费</w:t>
      </w:r>
      <w:r>
        <w:rPr>
          <w:rFonts w:hint="eastAsia" w:ascii="仿宋_GB2312" w:hAnsi="仿宋_GB2312" w:eastAsia="仿宋_GB2312" w:cs="仿宋_GB2312"/>
          <w:sz w:val="32"/>
          <w:szCs w:val="32"/>
        </w:rPr>
        <w:t>预算为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u w:val="none"/>
        </w:rPr>
        <w:t>全年因公出国（境）团组</w:t>
      </w:r>
      <w:r>
        <w:rPr>
          <w:rFonts w:hint="eastAsia" w:ascii="仿宋_GB2312" w:hAnsi="仿宋_GB2312" w:eastAsia="仿宋_GB2312" w:cs="仿宋_GB2312"/>
          <w:sz w:val="32"/>
          <w:szCs w:val="32"/>
          <w:u w:val="none"/>
          <w:lang w:val="en-US" w:eastAsia="zh-CN"/>
        </w:rPr>
        <w:t>0</w:t>
      </w:r>
      <w:r>
        <w:rPr>
          <w:rFonts w:hint="eastAsia" w:ascii="仿宋_GB2312" w:hAnsi="仿宋_GB2312" w:eastAsia="仿宋_GB2312" w:cs="仿宋_GB2312"/>
          <w:sz w:val="32"/>
          <w:szCs w:val="32"/>
          <w:u w:val="none"/>
        </w:rPr>
        <w:t>个，累计</w:t>
      </w:r>
      <w:r>
        <w:rPr>
          <w:rFonts w:hint="eastAsia" w:ascii="仿宋_GB2312" w:hAnsi="仿宋_GB2312" w:eastAsia="仿宋_GB2312" w:cs="仿宋_GB2312"/>
          <w:sz w:val="32"/>
          <w:szCs w:val="32"/>
          <w:u w:val="none"/>
          <w:lang w:val="en-US" w:eastAsia="zh-CN"/>
        </w:rPr>
        <w:t>0</w:t>
      </w:r>
      <w:r>
        <w:rPr>
          <w:rFonts w:hint="eastAsia" w:ascii="仿宋_GB2312" w:hAnsi="仿宋_GB2312" w:eastAsia="仿宋_GB2312" w:cs="仿宋_GB2312"/>
          <w:sz w:val="32"/>
          <w:szCs w:val="32"/>
          <w:u w:val="none"/>
        </w:rPr>
        <w:t>人次。</w:t>
      </w:r>
    </w:p>
    <w:p>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2．公务用车购置及运行费</w:t>
      </w:r>
      <w:r>
        <w:rPr>
          <w:rFonts w:hint="eastAsia" w:ascii="仿宋_GB2312" w:hAnsi="仿宋_GB2312" w:eastAsia="仿宋_GB2312" w:cs="仿宋_GB2312"/>
          <w:sz w:val="32"/>
          <w:szCs w:val="32"/>
        </w:rPr>
        <w:t>预算为</w:t>
      </w:r>
      <w:r>
        <w:rPr>
          <w:rFonts w:hint="eastAsia" w:ascii="仿宋_GB2312" w:hAnsi="仿宋_GB2312" w:eastAsia="仿宋_GB2312" w:cs="仿宋_GB2312"/>
          <w:sz w:val="32"/>
          <w:szCs w:val="32"/>
          <w:lang w:val="en-US" w:eastAsia="zh-CN"/>
        </w:rPr>
        <w:t>1.7</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0.57</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33.53</w:t>
      </w:r>
      <w:r>
        <w:rPr>
          <w:rFonts w:hint="eastAsia" w:ascii="仿宋_GB2312" w:hAnsi="仿宋_GB2312" w:eastAsia="仿宋_GB2312" w:cs="仿宋_GB2312"/>
          <w:sz w:val="32"/>
          <w:szCs w:val="32"/>
        </w:rPr>
        <w:t>%。决算数与预算数存在差异的主要原因是严格把控单位经费支出，节省开支。其中：</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公务用车购置支出</w:t>
      </w:r>
      <w:r>
        <w:rPr>
          <w:rFonts w:hint="eastAsia" w:ascii="仿宋_GB2312" w:hAnsi="仿宋_GB2312" w:eastAsia="仿宋_GB2312" w:cs="仿宋_GB2312"/>
          <w:sz w:val="32"/>
          <w:szCs w:val="32"/>
        </w:rPr>
        <w:t>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万元，购置车辆</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公务用车运行支出</w:t>
      </w:r>
      <w:r>
        <w:rPr>
          <w:rFonts w:hint="eastAsia" w:ascii="仿宋_GB2312" w:hAnsi="仿宋_GB2312" w:eastAsia="仿宋_GB2312" w:cs="仿宋_GB2312"/>
          <w:sz w:val="32"/>
          <w:szCs w:val="32"/>
          <w:lang w:val="en-US" w:eastAsia="zh-CN"/>
        </w:rPr>
        <w:t>0.57</w:t>
      </w:r>
      <w:r>
        <w:rPr>
          <w:rFonts w:hint="eastAsia" w:ascii="仿宋_GB2312" w:hAnsi="仿宋_GB2312" w:eastAsia="仿宋_GB2312" w:cs="仿宋_GB2312"/>
          <w:sz w:val="32"/>
          <w:szCs w:val="32"/>
        </w:rPr>
        <w:t>万元。主要用于车辆燃油、日常维修、年检等支出。</w:t>
      </w: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年期末，部门开支财政拨款的公务用车保有量为</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公务用车购置及运行费支出决算比上年度减少</w:t>
      </w:r>
      <w:r>
        <w:rPr>
          <w:rFonts w:hint="eastAsia" w:ascii="仿宋_GB2312" w:hAnsi="仿宋_GB2312" w:eastAsia="仿宋_GB2312" w:cs="仿宋_GB2312"/>
          <w:sz w:val="32"/>
          <w:szCs w:val="32"/>
          <w:lang w:val="en-US" w:eastAsia="zh-CN"/>
        </w:rPr>
        <w:t>1.06</w:t>
      </w:r>
      <w:r>
        <w:rPr>
          <w:rFonts w:hint="eastAsia" w:ascii="仿宋_GB2312" w:hAnsi="仿宋_GB2312" w:eastAsia="仿宋_GB2312" w:cs="仿宋_GB2312"/>
          <w:sz w:val="32"/>
          <w:szCs w:val="32"/>
        </w:rPr>
        <w:t>万元，下降</w:t>
      </w:r>
      <w:r>
        <w:rPr>
          <w:rFonts w:hint="eastAsia" w:ascii="仿宋_GB2312" w:hAnsi="仿宋_GB2312" w:eastAsia="仿宋_GB2312" w:cs="仿宋_GB2312"/>
          <w:sz w:val="32"/>
          <w:szCs w:val="32"/>
          <w:lang w:val="en-US" w:eastAsia="zh-CN"/>
        </w:rPr>
        <w:t>65.03</w:t>
      </w:r>
      <w:r>
        <w:rPr>
          <w:rFonts w:hint="eastAsia" w:ascii="仿宋_GB2312" w:hAnsi="仿宋_GB2312" w:eastAsia="仿宋_GB2312" w:cs="仿宋_GB2312"/>
          <w:sz w:val="32"/>
          <w:szCs w:val="32"/>
        </w:rPr>
        <w:t>%,主要原因是受疫情影响，公务外出频次减少。</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3.公务接待费</w:t>
      </w:r>
      <w:r>
        <w:rPr>
          <w:rFonts w:hint="eastAsia" w:ascii="仿宋_GB2312" w:hAnsi="仿宋_GB2312" w:eastAsia="仿宋_GB2312" w:cs="仿宋_GB2312"/>
          <w:sz w:val="32"/>
          <w:szCs w:val="32"/>
        </w:rPr>
        <w:t>预算为</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7.5</w:t>
      </w:r>
      <w:r>
        <w:rPr>
          <w:rFonts w:hint="eastAsia" w:ascii="仿宋_GB2312" w:hAnsi="仿宋_GB2312" w:eastAsia="仿宋_GB2312" w:cs="仿宋_GB2312"/>
          <w:sz w:val="32"/>
          <w:szCs w:val="32"/>
        </w:rPr>
        <w:t>%。决算数与预算数存在差异的主要原因是2020年受疫情影响减少公务接待，导致相关支出减少。其中：</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外宾接待支出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其他国内公务接待支出</w:t>
      </w:r>
      <w:r>
        <w:rPr>
          <w:rFonts w:hint="eastAsia" w:ascii="仿宋_GB2312" w:hAnsi="仿宋_GB2312" w:eastAsia="仿宋_GB2312" w:cs="仿宋_GB2312"/>
          <w:sz w:val="32"/>
          <w:szCs w:val="32"/>
          <w:lang w:val="en-US" w:eastAsia="zh-CN"/>
        </w:rPr>
        <w:t>0.3</w:t>
      </w:r>
      <w:r>
        <w:rPr>
          <w:rFonts w:hint="eastAsia" w:ascii="仿宋_GB2312" w:hAnsi="仿宋_GB2312" w:eastAsia="仿宋_GB2312" w:cs="仿宋_GB2312"/>
          <w:sz w:val="32"/>
          <w:szCs w:val="32"/>
        </w:rPr>
        <w:t>万元。主要用于</w:t>
      </w:r>
      <w:r>
        <w:rPr>
          <w:rFonts w:hint="eastAsia" w:ascii="仿宋_GB2312" w:hAnsi="仿宋_GB2312" w:eastAsia="仿宋_GB2312" w:cs="仿宋_GB2312"/>
          <w:sz w:val="32"/>
          <w:szCs w:val="32"/>
          <w:lang w:eastAsia="zh-CN"/>
        </w:rPr>
        <w:t>接待客商谋划我区服务业项目</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年共接待国内来访团组</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个、来宾</w:t>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t>人次（不包括陪同人员）。</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公务接待费支出决算比上年度增加</w:t>
      </w:r>
      <w:r>
        <w:rPr>
          <w:rFonts w:hint="eastAsia" w:ascii="仿宋_GB2312" w:hAnsi="仿宋_GB2312" w:eastAsia="仿宋_GB2312" w:cs="仿宋_GB2312"/>
          <w:sz w:val="32"/>
          <w:szCs w:val="32"/>
          <w:lang w:val="en-US" w:eastAsia="zh-CN"/>
        </w:rPr>
        <w:t>0.02</w:t>
      </w:r>
      <w:r>
        <w:rPr>
          <w:rFonts w:hint="eastAsia" w:ascii="仿宋_GB2312" w:hAnsi="仿宋_GB2312" w:eastAsia="仿宋_GB2312" w:cs="仿宋_GB2312"/>
          <w:sz w:val="32"/>
          <w:szCs w:val="32"/>
        </w:rPr>
        <w:t>万元，增长</w:t>
      </w:r>
      <w:r>
        <w:rPr>
          <w:rFonts w:hint="eastAsia" w:ascii="仿宋_GB2312" w:hAnsi="仿宋_GB2312" w:eastAsia="仿宋_GB2312" w:cs="仿宋_GB2312"/>
          <w:sz w:val="32"/>
          <w:szCs w:val="32"/>
          <w:lang w:val="en-US" w:eastAsia="zh-CN"/>
        </w:rPr>
        <w:t>7.1</w:t>
      </w:r>
      <w:r>
        <w:rPr>
          <w:rFonts w:hint="eastAsia" w:ascii="仿宋_GB2312" w:hAnsi="仿宋_GB2312" w:eastAsia="仿宋_GB2312" w:cs="仿宋_GB2312"/>
          <w:sz w:val="32"/>
          <w:szCs w:val="32"/>
        </w:rPr>
        <w:t>%,主要原因是</w:t>
      </w:r>
      <w:r>
        <w:rPr>
          <w:rFonts w:hint="eastAsia" w:ascii="仿宋_GB2312" w:hAnsi="仿宋_GB2312" w:eastAsia="仿宋_GB2312" w:cs="仿宋_GB2312"/>
          <w:sz w:val="32"/>
          <w:szCs w:val="32"/>
          <w:lang w:eastAsia="zh-CN"/>
        </w:rPr>
        <w:t>招商引资接待</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黑体" w:hAnsi="黑体" w:eastAsia="黑体" w:cs="黑体"/>
          <w:sz w:val="32"/>
          <w:szCs w:val="32"/>
        </w:rPr>
      </w:pPr>
      <w:r>
        <w:rPr>
          <w:rFonts w:hint="eastAsia" w:ascii="黑体" w:hAnsi="黑体" w:eastAsia="黑体" w:cs="黑体"/>
          <w:sz w:val="32"/>
          <w:szCs w:val="32"/>
        </w:rPr>
        <w:t>八、预算绩效情况说明</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（一）绩效管理工作开展情况。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kern w:val="2"/>
          <w:sz w:val="32"/>
          <w:szCs w:val="32"/>
          <w:lang w:val="en-US" w:eastAsia="zh-CN" w:bidi="ar"/>
        </w:rPr>
        <w:t>2020年，我单位纳入预算绩效管理的支出总额为1453.306万元，其中人员经费支出348.01万元，公用经费支出14.91万元；支出项目共15个，支出金额1000.07万元。其中，进行项目绩效自评15个，自评金额1000.07万元；纳入重点绩效评价1个，评价金额164.64万元。</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（二）项目绩效自评结果。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2"/>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对照我单位申请预算时的绩效目标，我们根据《洛龙区财政支出绩效评价指标体系（试行）》指标，对我单位15个绩效管理项目开展了自我评价，评价结果为优。</w:t>
      </w:r>
    </w:p>
    <w:p>
      <w:pPr>
        <w:keepNext w:val="0"/>
        <w:keepLines w:val="0"/>
        <w:pageBreakBefore w:val="0"/>
        <w:widowControl w:val="0"/>
        <w:kinsoku/>
        <w:wordWrap/>
        <w:overflowPunct/>
        <w:topLinePunct w:val="0"/>
        <w:autoSpaceDE/>
        <w:autoSpaceDN/>
        <w:bidi w:val="0"/>
        <w:adjustRightInd/>
        <w:snapToGrid/>
        <w:spacing w:line="590" w:lineRule="exact"/>
        <w:ind w:firstLine="643" w:firstLineChars="200"/>
        <w:textAlignment w:val="auto"/>
        <w:outlineLvl w:val="2"/>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（三）重点绩效评价结果。</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招商引资及现代化园区经费项目是洛龙区服务业发展局负责实施的。该单位为区政府直属全供事业单位，正科级规格，内设综合办公室、发展规划股、管理服务股、楼宇经济办公室 4个职能科室。主要负责引导专业园区创新招商引资方式，明确招商重点和准入条件，开展整体招商和产业链招商活动，引进一批带动效应明显的服务业重大项目。该项目总投资 25 万元，其中财政资金 25 万元，已支付 18.7万元，执行率74.8%。</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实施招商引资及现代化园区经费项目后，不断提升园区的综合实力，引导服务业专业园区实行精细化管理和个性化服务，拓展发展空间，更新核心业态，引导错位经营，发展壮大了园区经济。评价结果为良好。</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黑体" w:hAnsi="黑体" w:eastAsia="黑体" w:cs="黑体"/>
          <w:sz w:val="32"/>
          <w:szCs w:val="32"/>
        </w:rPr>
      </w:pPr>
      <w:r>
        <w:rPr>
          <w:rFonts w:hint="eastAsia" w:ascii="黑体" w:hAnsi="黑体" w:eastAsia="黑体" w:cs="黑体"/>
          <w:sz w:val="32"/>
          <w:szCs w:val="32"/>
        </w:rPr>
        <w:t>九、政府性基金预算财政拨款支出决算情况说明</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年度政府性基金预算财政拨款支出年初预算为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%。主要原因：我部门2019年度没有政府性基金收入，也没有使用政府性基金安排的支出。</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黑体" w:hAnsi="黑体" w:eastAsia="黑体" w:cs="黑体"/>
          <w:sz w:val="32"/>
          <w:szCs w:val="32"/>
        </w:rPr>
      </w:pPr>
      <w:r>
        <w:rPr>
          <w:rFonts w:hint="eastAsia" w:ascii="黑体" w:hAnsi="黑体" w:eastAsia="黑体" w:cs="黑体"/>
          <w:sz w:val="32"/>
          <w:szCs w:val="32"/>
        </w:rPr>
        <w:t>十、机关运行经费支出情况说明</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年度机关运行经费</w:t>
      </w:r>
      <w:r>
        <w:rPr>
          <w:rFonts w:hint="eastAsia" w:ascii="仿宋_GB2312" w:hAnsi="仿宋_GB2312" w:eastAsia="仿宋_GB2312" w:cs="仿宋_GB2312"/>
          <w:sz w:val="32"/>
          <w:szCs w:val="32"/>
          <w:u w:val="dotDash"/>
        </w:rPr>
        <w:t>年</w:t>
      </w:r>
      <w:r>
        <w:rPr>
          <w:rFonts w:hint="eastAsia" w:ascii="仿宋_GB2312" w:hAnsi="仿宋_GB2312" w:eastAsia="仿宋_GB2312" w:cs="仿宋_GB2312"/>
          <w:sz w:val="32"/>
          <w:szCs w:val="32"/>
        </w:rPr>
        <w:t>初预算为</w:t>
      </w:r>
      <w:r>
        <w:rPr>
          <w:rFonts w:hint="eastAsia" w:ascii="仿宋_GB2312" w:hAnsi="仿宋_GB2312" w:eastAsia="仿宋_GB2312" w:cs="仿宋_GB2312"/>
          <w:sz w:val="32"/>
          <w:szCs w:val="32"/>
          <w:lang w:val="en-US" w:eastAsia="zh-CN"/>
        </w:rPr>
        <w:t>7.6</w:t>
      </w:r>
      <w:r>
        <w:rPr>
          <w:rFonts w:hint="eastAsia" w:ascii="仿宋_GB2312" w:hAnsi="仿宋_GB2312" w:eastAsia="仿宋_GB2312" w:cs="仿宋_GB2312"/>
          <w:sz w:val="32"/>
          <w:szCs w:val="32"/>
        </w:rPr>
        <w:t>万元，支出决算为</w:t>
      </w:r>
      <w:r>
        <w:rPr>
          <w:rFonts w:hint="eastAsia" w:ascii="仿宋_GB2312" w:hAnsi="仿宋_GB2312" w:eastAsia="仿宋_GB2312" w:cs="仿宋_GB2312"/>
          <w:sz w:val="32"/>
          <w:szCs w:val="32"/>
          <w:lang w:val="en-US" w:eastAsia="zh-CN"/>
        </w:rPr>
        <w:t>14.91</w:t>
      </w:r>
      <w:r>
        <w:rPr>
          <w:rFonts w:hint="eastAsia" w:ascii="仿宋_GB2312" w:hAnsi="仿宋_GB2312" w:eastAsia="仿宋_GB2312" w:cs="仿宋_GB2312"/>
          <w:sz w:val="32"/>
          <w:szCs w:val="32"/>
        </w:rPr>
        <w:t>万元，完成年初预算的</w:t>
      </w:r>
      <w:r>
        <w:rPr>
          <w:rFonts w:hint="eastAsia" w:ascii="仿宋_GB2312" w:hAnsi="仿宋_GB2312" w:eastAsia="仿宋_GB2312" w:cs="仿宋_GB2312"/>
          <w:sz w:val="32"/>
          <w:szCs w:val="32"/>
          <w:lang w:val="en-US" w:eastAsia="zh-CN"/>
        </w:rPr>
        <w:t>272.06</w:t>
      </w:r>
      <w:r>
        <w:rPr>
          <w:rFonts w:hint="eastAsia" w:ascii="仿宋_GB2312" w:hAnsi="仿宋_GB2312" w:eastAsia="仿宋_GB2312" w:cs="仿宋_GB2312"/>
          <w:sz w:val="32"/>
          <w:szCs w:val="32"/>
        </w:rPr>
        <w:t>%。决算数与年初预算数存在差异的主要原因是机构改革，机关业务量增加导致办公经费增多。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2020</w:t>
      </w:r>
      <w:r>
        <w:rPr>
          <w:rFonts w:hint="eastAsia" w:ascii="仿宋_GB2312" w:hAnsi="仿宋_GB2312" w:eastAsia="仿宋_GB2312" w:cs="仿宋_GB2312"/>
          <w:sz w:val="32"/>
          <w:szCs w:val="32"/>
          <w:highlight w:val="none"/>
        </w:rPr>
        <w:t>年度机关运行经费支出</w:t>
      </w:r>
      <w:r>
        <w:rPr>
          <w:rFonts w:hint="eastAsia" w:ascii="仿宋_GB2312" w:hAnsi="仿宋_GB2312" w:eastAsia="仿宋_GB2312" w:cs="仿宋_GB2312"/>
          <w:sz w:val="32"/>
          <w:szCs w:val="32"/>
          <w:highlight w:val="none"/>
          <w:lang w:val="en-US" w:eastAsia="zh-CN"/>
        </w:rPr>
        <w:t>14.91</w:t>
      </w:r>
      <w:r>
        <w:rPr>
          <w:rFonts w:hint="eastAsia" w:ascii="仿宋_GB2312" w:hAnsi="仿宋_GB2312" w:eastAsia="仿宋_GB2312" w:cs="仿宋_GB2312"/>
          <w:sz w:val="32"/>
          <w:szCs w:val="32"/>
          <w:highlight w:val="none"/>
        </w:rPr>
        <w:t>万元，较上年度减少</w:t>
      </w:r>
      <w:r>
        <w:rPr>
          <w:rFonts w:hint="eastAsia" w:ascii="仿宋_GB2312" w:hAnsi="仿宋_GB2312" w:eastAsia="仿宋_GB2312" w:cs="仿宋_GB2312"/>
          <w:sz w:val="32"/>
          <w:szCs w:val="32"/>
          <w:highlight w:val="none"/>
          <w:lang w:val="en-US" w:eastAsia="zh-CN"/>
        </w:rPr>
        <w:t>1.09</w:t>
      </w:r>
      <w:r>
        <w:rPr>
          <w:rFonts w:hint="eastAsia" w:ascii="仿宋_GB2312" w:hAnsi="仿宋_GB2312" w:eastAsia="仿宋_GB2312" w:cs="仿宋_GB2312"/>
          <w:sz w:val="32"/>
          <w:szCs w:val="32"/>
          <w:highlight w:val="none"/>
        </w:rPr>
        <w:t>万元，下降</w:t>
      </w:r>
      <w:r>
        <w:rPr>
          <w:rFonts w:hint="eastAsia" w:ascii="仿宋_GB2312" w:hAnsi="仿宋_GB2312" w:eastAsia="仿宋_GB2312" w:cs="仿宋_GB2312"/>
          <w:sz w:val="32"/>
          <w:szCs w:val="32"/>
          <w:highlight w:val="none"/>
          <w:lang w:val="en-US" w:eastAsia="zh-CN"/>
        </w:rPr>
        <w:t>6.82</w:t>
      </w:r>
      <w:r>
        <w:rPr>
          <w:rFonts w:hint="eastAsia" w:ascii="仿宋_GB2312" w:hAnsi="仿宋_GB2312" w:eastAsia="仿宋_GB2312" w:cs="仿宋_GB2312"/>
          <w:sz w:val="32"/>
          <w:szCs w:val="32"/>
          <w:highlight w:val="none"/>
        </w:rPr>
        <w:t>%。减少的主要原因是：机关运行经费统计范围变化。</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黑体" w:hAnsi="黑体" w:eastAsia="黑体" w:cs="黑体"/>
          <w:sz w:val="32"/>
          <w:szCs w:val="32"/>
          <w:highlight w:val="none"/>
        </w:rPr>
      </w:pPr>
      <w:r>
        <w:rPr>
          <w:rFonts w:hint="eastAsia" w:ascii="黑体" w:hAnsi="黑体" w:eastAsia="黑体" w:cs="黑体"/>
          <w:sz w:val="32"/>
          <w:szCs w:val="32"/>
          <w:highlight w:val="none"/>
        </w:rPr>
        <w:t>十一、政府采购支出情况说明</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outlineLvl w:val="1"/>
        <w:rPr>
          <w:rFonts w:hint="eastAsia" w:ascii="黑体" w:hAnsi="黑体" w:eastAsia="黑体" w:cs="黑体"/>
          <w:sz w:val="32"/>
          <w:szCs w:val="32"/>
        </w:rPr>
      </w:pPr>
      <w:r>
        <w:rPr>
          <w:rFonts w:hint="eastAsia" w:ascii="黑体" w:hAnsi="黑体" w:eastAsia="黑体" w:cs="黑体"/>
          <w:sz w:val="32"/>
          <w:szCs w:val="32"/>
        </w:rPr>
        <w:t>十二、国有资产占用情况说明</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2020</w:t>
      </w:r>
      <w:r>
        <w:rPr>
          <w:rFonts w:hint="eastAsia" w:ascii="仿宋_GB2312" w:hAnsi="仿宋_GB2312" w:eastAsia="仿宋_GB2312" w:cs="仿宋_GB2312"/>
          <w:sz w:val="32"/>
          <w:szCs w:val="32"/>
        </w:rPr>
        <w:t>年期末，我部门共有车辆</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辆，其中：省级领导干部用车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辆、应急保障车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楷体_GB2312" w:hAnsi="楷体_GB2312" w:eastAsia="楷体_GB2312" w:cs="楷体_GB2312"/>
          <w:sz w:val="32"/>
          <w:szCs w:val="32"/>
        </w:rPr>
        <w:sectPr>
          <w:pgSz w:w="11906" w:h="16838"/>
          <w:pgMar w:top="1440" w:right="1800" w:bottom="1440" w:left="1800" w:header="720" w:footer="720" w:gutter="0"/>
          <w:pgNumType w:fmt="numberInDash"/>
          <w:cols w:space="720" w:num="1"/>
          <w:docGrid w:type="lines" w:linePitch="312" w:charSpace="0"/>
        </w:sect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widowControl/>
        <w:jc w:val="left"/>
        <w:rPr>
          <w:rFonts w:hint="eastAsia" w:ascii="黑体" w:hAnsi="宋体" w:eastAsia="黑体" w:cs="宋体"/>
          <w:kern w:val="0"/>
          <w:sz w:val="28"/>
          <w:szCs w:val="28"/>
        </w:rPr>
      </w:pPr>
    </w:p>
    <w:p>
      <w:pPr>
        <w:jc w:val="center"/>
        <w:outlineLvl w:val="0"/>
        <w:rPr>
          <w:rFonts w:hint="eastAsia" w:ascii="黑体" w:hAnsi="黑体" w:eastAsia="黑体" w:cs="黑体"/>
          <w:sz w:val="48"/>
          <w:szCs w:val="48"/>
        </w:rPr>
      </w:pPr>
      <w:r>
        <w:rPr>
          <w:rFonts w:hint="eastAsia" w:ascii="黑体" w:hAnsi="黑体" w:eastAsia="黑体" w:cs="黑体"/>
          <w:sz w:val="48"/>
          <w:szCs w:val="48"/>
        </w:rPr>
        <w:t>第四部分  名词解释</w:t>
      </w:r>
    </w:p>
    <w:p>
      <w:pPr>
        <w:jc w:val="center"/>
        <w:rPr>
          <w:rFonts w:hint="eastAsia" w:ascii="黑体" w:hAnsi="黑体" w:eastAsia="黑体" w:cs="黑体"/>
          <w:sz w:val="48"/>
          <w:szCs w:val="48"/>
        </w:rPr>
      </w:pPr>
    </w:p>
    <w:p>
      <w:pPr>
        <w:jc w:val="center"/>
        <w:outlineLvl w:val="0"/>
        <w:rPr>
          <w:rFonts w:hint="eastAsia" w:ascii="黑体" w:hAnsi="黑体" w:eastAsia="黑体" w:cs="黑体"/>
          <w:sz w:val="48"/>
          <w:szCs w:val="48"/>
        </w:rPr>
        <w:sectPr>
          <w:pgSz w:w="11906" w:h="16838"/>
          <w:pgMar w:top="1440" w:right="1531" w:bottom="1440" w:left="1587" w:header="850" w:footer="992" w:gutter="0"/>
          <w:pgNumType w:fmt="numberInDash"/>
          <w:cols w:space="720" w:num="1"/>
          <w:docGrid w:type="lines" w:linePitch="317" w:charSpace="0"/>
        </w:sectPr>
      </w:pP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一、财政拨款收入：单位从同级政府财政部门取得的财政预算资金。</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二、事业收入：事业单位开展专业业务活动及其辅助活动取得的收入。</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三、上级补助收入：事业单位从主管部门和上级单位取得的非财政补助收入。</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四、附属单位上缴收入：事业单位取得附属独立核算单位根据有关规定上缴的收入。</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五、经营收入：事业单位在专业业务活动及其辅助活动之外开展非独立核算经营活动取得的收入。</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六、其他收入：单位取得的除“财政拨款收入”、“事业收入”、“上级补助收入”、“附属单位上缴收入”、“经营收入”以外的各项收入。</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用事业基金弥补收支差额：事业单位在当年收入不足以安排当年支出的情况下，使用以前年度积累的事业基金（事业单位当年收支相抵后按国家规定提取、用于弥补以后年度收支差额的基金）弥补当年收支缺口的资金。</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八、基本支出：为保障机构正常运转、完成日常工作任务而发生的人员支出和公用支出。</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九、项目支出：基本支出之外为完成特定行政任务和事业发展目标所发生的支出。</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公”经费：纳入同级财政预决算管理“三公”经费，指部门使用财政拨款安排的因公出国（境）费、公务用车购置及运行费和公务接待费。其中，因公出国（境）费反映单位公务出国（境）的国际旅费、国外城市间交通费、住宿费、伙食费、培训费、公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一、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十二、工资福利支出：单位支付给在职职工和编制外长期聘用人员的各类劳动报酬，以及为上述人员缴纳的各项社会保险费等。</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十三、商品和服务支出：单位购买商品和服务的支出。</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十四、对个人和家庭的补助支出：单位用于对个人和家庭的补助支出。</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十五、年末结转：本年度或以前年度预算安排，已执行但尚未完成或因客观条件发生变化无法按原计划实施，需延迟到以后年度按有关规定继续使用的资金。</w:t>
      </w:r>
    </w:p>
    <w:p>
      <w:pPr>
        <w:widowControl/>
        <w:spacing w:line="59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十六、年末结余：本年度或以前年度预算安排，已执行完毕或因客观条件发生变化无法按原预算安排实施，不需要再使用或无法按原预算安排继续使用的资金</w:t>
      </w:r>
    </w:p>
    <w:p/>
    <w:sectPr>
      <w:pgSz w:w="11906" w:h="16838"/>
      <w:pgMar w:top="1928" w:right="1474" w:bottom="1701" w:left="158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- 21 -</w:t>
                          </w:r>
                          <w:r>
                            <w:rPr>
                              <w:rFonts w:hint="eastAsia"/>
                              <w:sz w:val="18"/>
                            </w:rPr>
                            <w:fldChar w:fldCharType="end"/>
                          </w:r>
                        </w:p>
                      </w:txbxContent>
                    </wps:txbx>
                    <wps:bodyPr wrap="none" lIns="0" tIns="0" rIns="0" bIns="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wF90idMBAAClAwAADgAAAAAAAAABACAAAAAeAQAA&#10;ZHJzL2Uyb0RvYy54bWxQSwUGAAAAAAYABgBZAQAAYwU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- 21 -</w:t>
                    </w:r>
                    <w:r>
                      <w:rPr>
                        <w:rFonts w:hint="eastAsia"/>
                        <w:sz w:val="18"/>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rPr>
                              <w:rFonts w:hint="eastAsia"/>
                            </w:rPr>
                          </w:pPr>
                        </w:p>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&#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OPeVx/UAQAApQMAAA4AAAAAAAAAAQAgAAAAHgEA&#10;AGRycy9lMm9Eb2MueG1sUEsFBgAAAAAGAAYAWQEAAGQFAAAAAA==&#10;">
              <v:fill on="f" focussize="0,0"/>
              <v:stroke on="f"/>
              <v:imagedata o:title=""/>
              <o:lock v:ext="edit" aspectratio="f"/>
              <v:textbox inset="0mm,0mm,0mm,0mm" style="mso-fit-shape-to-text:t;">
                <w:txbxContent>
                  <w:p>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- 22 -</w:t>
                          </w:r>
                          <w:r>
                            <w:rPr>
                              <w:rFonts w:hint="eastAsia"/>
                              <w:sz w:val="18"/>
                            </w:rPr>
                            <w:fldChar w:fldCharType="end"/>
                          </w:r>
                        </w:p>
                      </w:txbxContent>
                    </wps:txbx>
                    <wps:bodyPr wrap="none" lIns="0" tIns="0" rIns="0" bIns="0"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BuuGmrUAQAApQMAAA4AAAAAAAAAAQAgAAAAHgEA&#10;AGRycy9lMm9Eb2MueG1sUEsFBgAAAAAGAAYAWQEAAGQ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- 22 -</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BBA62F"/>
    <w:multiLevelType w:val="singleLevel"/>
    <w:tmpl w:val="E6BBA62F"/>
    <w:lvl w:ilvl="0" w:tentative="0">
      <w:start w:val="2"/>
      <w:numFmt w:val="chineseCounting"/>
      <w:suff w:val="nothing"/>
      <w:lvlText w:val="（%1）"/>
      <w:lvlJc w:val="left"/>
      <w:pPr>
        <w:ind w:left="-13"/>
      </w:pPr>
      <w:rPr>
        <w:rFonts w:hint="eastAsia"/>
      </w:rPr>
    </w:lvl>
  </w:abstractNum>
  <w:abstractNum w:abstractNumId="1">
    <w:nsid w:val="5971BE17"/>
    <w:multiLevelType w:val="singleLevel"/>
    <w:tmpl w:val="5971BE17"/>
    <w:lvl w:ilvl="0" w:tentative="0">
      <w:start w:val="1"/>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NlOTI3MWMwZWM0YWY2Mzk4N2ZkZjk2N2ZkNTMzZDIifQ=="/>
  </w:docVars>
  <w:rsids>
    <w:rsidRoot w:val="00000000"/>
    <w:rsid w:val="013E2686"/>
    <w:rsid w:val="09EA4E8A"/>
    <w:rsid w:val="0AE62476"/>
    <w:rsid w:val="0E4B0190"/>
    <w:rsid w:val="11146F5F"/>
    <w:rsid w:val="1B177D78"/>
    <w:rsid w:val="1EE77A61"/>
    <w:rsid w:val="20126D60"/>
    <w:rsid w:val="207171CD"/>
    <w:rsid w:val="217C6B87"/>
    <w:rsid w:val="21DC286A"/>
    <w:rsid w:val="240E06F2"/>
    <w:rsid w:val="28BA252D"/>
    <w:rsid w:val="2CE43832"/>
    <w:rsid w:val="2D5347F6"/>
    <w:rsid w:val="2F1F48E1"/>
    <w:rsid w:val="2F866E22"/>
    <w:rsid w:val="2FF63FA8"/>
    <w:rsid w:val="36C546D4"/>
    <w:rsid w:val="3E4C25CA"/>
    <w:rsid w:val="447B4624"/>
    <w:rsid w:val="4701142B"/>
    <w:rsid w:val="497A2108"/>
    <w:rsid w:val="4EFC09E4"/>
    <w:rsid w:val="4FEE65F2"/>
    <w:rsid w:val="50277BFE"/>
    <w:rsid w:val="549534E0"/>
    <w:rsid w:val="587F2E51"/>
    <w:rsid w:val="59CC3500"/>
    <w:rsid w:val="5ADA0C67"/>
    <w:rsid w:val="5BF760DE"/>
    <w:rsid w:val="5E1A672C"/>
    <w:rsid w:val="5FED2422"/>
    <w:rsid w:val="604A33D1"/>
    <w:rsid w:val="636C18B0"/>
    <w:rsid w:val="63914481"/>
    <w:rsid w:val="648F1CFA"/>
    <w:rsid w:val="64C319A4"/>
    <w:rsid w:val="66807019"/>
    <w:rsid w:val="66DD4F9F"/>
    <w:rsid w:val="69937B96"/>
    <w:rsid w:val="6D1F71A2"/>
    <w:rsid w:val="6E5A6ED5"/>
    <w:rsid w:val="73D52F2C"/>
    <w:rsid w:val="758B206A"/>
    <w:rsid w:val="78A4110D"/>
    <w:rsid w:val="78E57CE3"/>
    <w:rsid w:val="79071D7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1"/>
    <w:unhideWhenUsed/>
    <w:qFormat/>
    <w:uiPriority w:val="0"/>
    <w:pPr>
      <w:spacing w:after="120"/>
    </w:pPr>
  </w:style>
  <w:style w:type="paragraph" w:styleId="4">
    <w:name w:val="footer"/>
    <w:basedOn w:val="1"/>
    <w:qFormat/>
    <w:uiPriority w:val="0"/>
    <w:pPr>
      <w:tabs>
        <w:tab w:val="center" w:pos="4153"/>
        <w:tab w:val="right" w:pos="8306"/>
      </w:tabs>
      <w:snapToGrid w:val="0"/>
      <w:jc w:val="left"/>
    </w:pPr>
    <w:rPr>
      <w:sz w:val="18"/>
      <w:szCs w:val="18"/>
    </w:rPr>
  </w:style>
  <w:style w:type="character" w:styleId="7">
    <w:name w:val="annotation reference"/>
    <w:basedOn w:val="6"/>
    <w:qFormat/>
    <w:uiPriority w:val="0"/>
    <w:rPr>
      <w:sz w:val="21"/>
      <w:szCs w:val="21"/>
    </w:rPr>
  </w:style>
  <w:style w:type="character" w:customStyle="1" w:styleId="8">
    <w:name w:val="font11"/>
    <w:basedOn w:val="6"/>
    <w:qFormat/>
    <w:uiPriority w:val="0"/>
    <w:rPr>
      <w:rFonts w:hint="eastAsia" w:ascii="宋体" w:hAnsi="宋体" w:eastAsia="宋体" w:cs="宋体"/>
      <w:color w:val="000000"/>
      <w:sz w:val="20"/>
      <w:szCs w:val="20"/>
      <w:u w:val="none"/>
    </w:rPr>
  </w:style>
  <w:style w:type="character" w:customStyle="1" w:styleId="9">
    <w:name w:val="font01"/>
    <w:basedOn w:val="6"/>
    <w:qFormat/>
    <w:uiPriority w:val="0"/>
    <w:rPr>
      <w:rFonts w:hint="eastAsia" w:ascii="宋体" w:hAnsi="宋体" w:eastAsia="宋体" w:cs="宋体"/>
      <w:color w:val="000000"/>
      <w:sz w:val="22"/>
      <w:szCs w:val="22"/>
      <w:u w:val="none"/>
    </w:rPr>
  </w:style>
  <w:style w:type="character" w:customStyle="1" w:styleId="10">
    <w:name w:val="font51"/>
    <w:basedOn w:val="6"/>
    <w:qFormat/>
    <w:uiPriority w:val="0"/>
    <w:rPr>
      <w:rFonts w:hint="eastAsia" w:ascii="宋体" w:hAnsi="宋体" w:eastAsia="宋体" w:cs="宋体"/>
      <w:color w:val="000000"/>
      <w:sz w:val="24"/>
      <w:szCs w:val="24"/>
      <w:u w:val="none"/>
    </w:rPr>
  </w:style>
  <w:style w:type="character" w:customStyle="1" w:styleId="11">
    <w:name w:val="font41"/>
    <w:basedOn w:val="6"/>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4906</Words>
  <Characters>5414</Characters>
  <Lines>0</Lines>
  <Paragraphs>0</Paragraphs>
  <TotalTime>18</TotalTime>
  <ScaleCrop>false</ScaleCrop>
  <LinksUpToDate>false</LinksUpToDate>
  <CharactersWithSpaces>5452</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颖颖</cp:lastModifiedBy>
  <cp:lastPrinted>2022-08-25T09:42:00Z</cp:lastPrinted>
  <dcterms:modified xsi:type="dcterms:W3CDTF">2022-08-25T11:21:39Z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FFCE390A9A1943E194913FF01EBDBA99</vt:lpwstr>
  </property>
</Properties>
</file>