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topLinePunct w:val="0"/>
        <w:adjustRightInd w:val="0"/>
        <w:snapToGrid w:val="0"/>
        <w:spacing w:line="60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wordWrap/>
        <w:topLinePunct w:val="0"/>
        <w:spacing w:line="600" w:lineRule="exact"/>
        <w:jc w:val="left"/>
        <w:textAlignment w:val="auto"/>
        <w:rPr>
          <w:rFonts w:hint="eastAsia" w:ascii="Times New Roman" w:hAnsi="Times New Roman" w:eastAsia="黑体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wordWrap/>
        <w:topLinePunct w:val="0"/>
        <w:spacing w:line="600" w:lineRule="exact"/>
        <w:jc w:val="left"/>
        <w:textAlignment w:val="auto"/>
        <w:rPr>
          <w:rFonts w:hint="eastAsia" w:ascii="Times New Roman" w:hAnsi="Times New Roman" w:eastAsia="黑体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wordWrap/>
        <w:topLinePunct w:val="0"/>
        <w:spacing w:line="600" w:lineRule="exact"/>
        <w:jc w:val="left"/>
        <w:textAlignment w:val="auto"/>
        <w:rPr>
          <w:rFonts w:hint="eastAsia" w:ascii="Times New Roman" w:hAnsi="Times New Roman" w:eastAsia="黑体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wordWrap/>
        <w:topLinePunct w:val="0"/>
        <w:spacing w:line="600" w:lineRule="exact"/>
        <w:jc w:val="left"/>
        <w:textAlignment w:val="auto"/>
        <w:rPr>
          <w:rFonts w:hint="eastAsia" w:ascii="Times New Roman" w:hAnsi="Times New Roman" w:eastAsia="黑体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wordWrap/>
        <w:topLinePunct w:val="0"/>
        <w:spacing w:line="600" w:lineRule="exact"/>
        <w:jc w:val="left"/>
        <w:textAlignment w:val="auto"/>
        <w:rPr>
          <w:rFonts w:hint="eastAsia" w:ascii="Times New Roman" w:hAnsi="Times New Roman" w:eastAsia="黑体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ordWrap/>
        <w:topLinePunct w:val="0"/>
        <w:spacing w:line="600" w:lineRule="exact"/>
        <w:jc w:val="center"/>
        <w:textAlignment w:val="auto"/>
        <w:rPr>
          <w:rFonts w:hint="eastAsia" w:ascii="Times New Roman" w:hAnsi="Times New Roman" w:eastAsia="黑体"/>
          <w:color w:val="000000"/>
          <w:sz w:val="52"/>
          <w:szCs w:val="52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52"/>
          <w:szCs w:val="52"/>
          <w:lang w:val="en-US" w:eastAsia="zh-CN"/>
        </w:rPr>
        <w:t>洛阳市洛龙区大数据产业园管理中心</w:t>
      </w:r>
    </w:p>
    <w:p>
      <w:pPr>
        <w:keepNext w:val="0"/>
        <w:keepLines w:val="0"/>
        <w:pageBreakBefore w:val="0"/>
        <w:wordWrap/>
        <w:topLinePunct w:val="0"/>
        <w:spacing w:line="600" w:lineRule="exact"/>
        <w:jc w:val="center"/>
        <w:textAlignment w:val="auto"/>
        <w:rPr>
          <w:rFonts w:hint="eastAsia" w:ascii="Times New Roman" w:hAnsi="Times New Roman" w:eastAsia="黑体"/>
          <w:color w:val="000000"/>
          <w:sz w:val="52"/>
          <w:szCs w:val="52"/>
        </w:rPr>
      </w:pPr>
      <w:r>
        <w:rPr>
          <w:rFonts w:hint="eastAsia" w:ascii="Times New Roman" w:hAnsi="Times New Roman" w:eastAsia="黑体"/>
          <w:color w:val="000000"/>
          <w:sz w:val="52"/>
          <w:szCs w:val="52"/>
        </w:rPr>
        <w:t>2019年度部门预算</w:t>
      </w:r>
    </w:p>
    <w:p>
      <w:pPr>
        <w:keepNext w:val="0"/>
        <w:keepLines w:val="0"/>
        <w:pageBreakBefore w:val="0"/>
        <w:wordWrap/>
        <w:topLinePunct w:val="0"/>
        <w:spacing w:line="600" w:lineRule="exact"/>
        <w:jc w:val="center"/>
        <w:textAlignment w:val="auto"/>
        <w:rPr>
          <w:rFonts w:hint="eastAsia" w:ascii="Times New Roman" w:hAnsi="Times New Roman" w:eastAsia="黑体"/>
          <w:color w:val="000000"/>
          <w:sz w:val="52"/>
          <w:szCs w:val="52"/>
        </w:rPr>
      </w:pPr>
    </w:p>
    <w:p>
      <w:pPr>
        <w:keepNext w:val="0"/>
        <w:keepLines w:val="0"/>
        <w:pageBreakBefore w:val="0"/>
        <w:wordWrap/>
        <w:topLinePunct w:val="0"/>
        <w:spacing w:line="600" w:lineRule="exact"/>
        <w:jc w:val="center"/>
        <w:textAlignment w:val="auto"/>
        <w:rPr>
          <w:rFonts w:hint="eastAsia" w:ascii="Times New Roman" w:hAnsi="Times New Roman" w:eastAsia="黑体"/>
          <w:color w:val="000000"/>
          <w:sz w:val="52"/>
          <w:szCs w:val="52"/>
        </w:rPr>
      </w:pPr>
    </w:p>
    <w:p>
      <w:pPr>
        <w:keepNext w:val="0"/>
        <w:keepLines w:val="0"/>
        <w:pageBreakBefore w:val="0"/>
        <w:wordWrap/>
        <w:topLinePunct w:val="0"/>
        <w:spacing w:line="600" w:lineRule="exact"/>
        <w:jc w:val="center"/>
        <w:textAlignment w:val="auto"/>
        <w:rPr>
          <w:rFonts w:hint="eastAsia" w:ascii="Times New Roman" w:hAnsi="Times New Roman" w:eastAsia="黑体"/>
          <w:color w:val="000000"/>
          <w:sz w:val="52"/>
          <w:szCs w:val="52"/>
        </w:rPr>
      </w:pPr>
    </w:p>
    <w:p>
      <w:pPr>
        <w:keepNext w:val="0"/>
        <w:keepLines w:val="0"/>
        <w:pageBreakBefore w:val="0"/>
        <w:wordWrap/>
        <w:topLinePunct w:val="0"/>
        <w:spacing w:line="600" w:lineRule="exact"/>
        <w:jc w:val="center"/>
        <w:textAlignment w:val="auto"/>
        <w:rPr>
          <w:rFonts w:hint="eastAsia" w:ascii="Times New Roman" w:hAnsi="Times New Roman" w:eastAsia="黑体"/>
          <w:color w:val="000000"/>
          <w:sz w:val="52"/>
          <w:szCs w:val="52"/>
        </w:rPr>
      </w:pPr>
    </w:p>
    <w:p>
      <w:pPr>
        <w:keepNext w:val="0"/>
        <w:keepLines w:val="0"/>
        <w:pageBreakBefore w:val="0"/>
        <w:wordWrap/>
        <w:topLinePunct w:val="0"/>
        <w:spacing w:line="600" w:lineRule="exact"/>
        <w:jc w:val="center"/>
        <w:textAlignment w:val="auto"/>
        <w:rPr>
          <w:rFonts w:hint="eastAsia" w:ascii="Times New Roman" w:hAnsi="Times New Roman" w:eastAsia="黑体"/>
          <w:color w:val="000000"/>
          <w:sz w:val="52"/>
          <w:szCs w:val="52"/>
        </w:rPr>
      </w:pPr>
    </w:p>
    <w:p>
      <w:pPr>
        <w:keepNext w:val="0"/>
        <w:keepLines w:val="0"/>
        <w:pageBreakBefore w:val="0"/>
        <w:wordWrap/>
        <w:topLinePunct w:val="0"/>
        <w:spacing w:line="600" w:lineRule="exact"/>
        <w:jc w:val="center"/>
        <w:textAlignment w:val="auto"/>
        <w:rPr>
          <w:rFonts w:hint="eastAsia" w:ascii="Times New Roman" w:hAnsi="Times New Roman" w:eastAsia="黑体"/>
          <w:color w:val="000000"/>
          <w:sz w:val="52"/>
          <w:szCs w:val="52"/>
        </w:rPr>
      </w:pPr>
    </w:p>
    <w:p>
      <w:pPr>
        <w:keepNext w:val="0"/>
        <w:keepLines w:val="0"/>
        <w:pageBreakBefore w:val="0"/>
        <w:wordWrap/>
        <w:topLinePunct w:val="0"/>
        <w:spacing w:line="600" w:lineRule="exact"/>
        <w:jc w:val="center"/>
        <w:textAlignment w:val="auto"/>
        <w:rPr>
          <w:rFonts w:hint="eastAsia" w:ascii="Times New Roman" w:hAnsi="Times New Roman" w:eastAsia="黑体"/>
          <w:color w:val="000000"/>
          <w:sz w:val="52"/>
          <w:szCs w:val="52"/>
        </w:rPr>
      </w:pPr>
    </w:p>
    <w:p>
      <w:pPr>
        <w:keepNext w:val="0"/>
        <w:keepLines w:val="0"/>
        <w:pageBreakBefore w:val="0"/>
        <w:wordWrap/>
        <w:topLinePunct w:val="0"/>
        <w:spacing w:line="600" w:lineRule="exact"/>
        <w:jc w:val="center"/>
        <w:textAlignment w:val="auto"/>
        <w:rPr>
          <w:rFonts w:hint="eastAsia" w:ascii="Times New Roman" w:hAnsi="Times New Roman" w:eastAsia="黑体"/>
          <w:color w:val="000000"/>
          <w:sz w:val="52"/>
          <w:szCs w:val="52"/>
        </w:rPr>
      </w:pPr>
    </w:p>
    <w:p>
      <w:pPr>
        <w:keepNext w:val="0"/>
        <w:keepLines w:val="0"/>
        <w:pageBreakBefore w:val="0"/>
        <w:wordWrap/>
        <w:topLinePunct w:val="0"/>
        <w:spacing w:line="600" w:lineRule="exact"/>
        <w:jc w:val="center"/>
        <w:textAlignment w:val="auto"/>
        <w:rPr>
          <w:rFonts w:hint="eastAsia" w:ascii="Times New Roman" w:hAnsi="Times New Roman" w:eastAsia="黑体"/>
          <w:color w:val="000000"/>
          <w:sz w:val="52"/>
          <w:szCs w:val="52"/>
        </w:rPr>
      </w:pPr>
    </w:p>
    <w:p>
      <w:pPr>
        <w:keepNext w:val="0"/>
        <w:keepLines w:val="0"/>
        <w:pageBreakBefore w:val="0"/>
        <w:wordWrap/>
        <w:topLinePunct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ordWrap/>
        <w:topLinePunct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黑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黑体" w:cs="方正小标宋简体"/>
          <w:color w:val="000000"/>
          <w:sz w:val="32"/>
          <w:szCs w:val="32"/>
        </w:rPr>
        <w:t>二○一九年三月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djustRightInd w:val="0"/>
        <w:snapToGrid w:val="0"/>
        <w:spacing w:line="600" w:lineRule="exact"/>
        <w:ind w:left="101" w:right="3569" w:firstLine="624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djustRightInd w:val="0"/>
        <w:snapToGrid w:val="0"/>
        <w:spacing w:line="600" w:lineRule="exact"/>
        <w:ind w:left="-142" w:right="51" w:firstLine="30" w:firstLineChars="7"/>
        <w:jc w:val="center"/>
        <w:textAlignment w:val="auto"/>
        <w:rPr>
          <w:rFonts w:hint="eastAsia" w:ascii="Times New Roman" w:hAnsi="Times New Roman" w:eastAsia="方正小标宋简体" w:cs="仿宋_GB2312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仿宋_GB2312"/>
          <w:color w:val="000000"/>
          <w:sz w:val="44"/>
          <w:szCs w:val="44"/>
        </w:rPr>
        <w:t>目</w:t>
      </w:r>
      <w:r>
        <w:rPr>
          <w:rFonts w:hint="eastAsia" w:ascii="Times New Roman" w:hAnsi="Times New Roman" w:eastAsia="方正小标宋简体" w:cs="仿宋_GB2312"/>
          <w:color w:val="000000"/>
          <w:spacing w:val="2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简体" w:cs="仿宋_GB2312"/>
          <w:color w:val="000000"/>
          <w:sz w:val="44"/>
          <w:szCs w:val="44"/>
        </w:rPr>
        <w:t>录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djustRightInd w:val="0"/>
        <w:snapToGrid w:val="0"/>
        <w:spacing w:line="600" w:lineRule="exact"/>
        <w:ind w:right="3569" w:firstLine="624" w:firstLineChars="200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djustRightInd w:val="0"/>
        <w:snapToGrid w:val="0"/>
        <w:spacing w:line="600" w:lineRule="exact"/>
        <w:ind w:right="3569" w:firstLine="624" w:firstLineChars="200"/>
        <w:textAlignment w:val="auto"/>
        <w:rPr>
          <w:rFonts w:hint="eastAsia" w:ascii="Times New Roman" w:hAnsi="Times New Roman" w:eastAsia="仿宋_GB2312" w:cs="仿宋_GB2312"/>
          <w:w w:val="99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  <w:t xml:space="preserve">第一部分 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  <w:t>概况</w:t>
      </w:r>
      <w:r>
        <w:rPr>
          <w:rFonts w:hint="eastAsia" w:ascii="Times New Roman" w:hAnsi="Times New Roman" w:eastAsia="仿宋_GB2312" w:cs="仿宋_GB2312"/>
          <w:w w:val="99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djustRightInd w:val="0"/>
        <w:snapToGrid w:val="0"/>
        <w:spacing w:line="600" w:lineRule="exact"/>
        <w:ind w:right="3569" w:firstLine="936" w:firstLineChars="3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一、主要职能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djustRightInd w:val="0"/>
        <w:snapToGrid w:val="0"/>
        <w:spacing w:line="600" w:lineRule="exact"/>
        <w:ind w:right="3569" w:firstLine="936" w:firstLineChars="3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二、部门预算单位构成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djustRightInd w:val="0"/>
        <w:snapToGrid w:val="0"/>
        <w:spacing w:line="600" w:lineRule="exact"/>
        <w:ind w:right="521" w:firstLine="624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第二部分</w:t>
      </w:r>
      <w:r>
        <w:rPr>
          <w:rFonts w:hint="eastAsia" w:ascii="Times New Roman" w:hAnsi="Times New Roman" w:eastAsia="仿宋_GB2312" w:cs="仿宋_GB2312"/>
          <w:b/>
          <w:bCs/>
          <w:color w:val="00B0F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洛阳市洛龙区大数据产业园管理中心2019年部门预算情况说明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djustRightInd w:val="0"/>
        <w:snapToGrid w:val="0"/>
        <w:spacing w:line="600" w:lineRule="exact"/>
        <w:ind w:right="521" w:firstLine="624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第三部分 名词解释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djustRightInd w:val="0"/>
        <w:snapToGrid w:val="0"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附件：</w:t>
      </w:r>
      <w:r>
        <w:rPr>
          <w:rFonts w:hint="eastAsia" w:ascii="Times New Roman" w:hAnsi="Times New Roman" w:eastAsia="仿宋_GB2312" w:cs="仿宋_GB2312"/>
          <w:spacing w:val="-3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 洛阳市洛龙区大数据产业园管理中心2019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年度部门预算表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djustRightInd w:val="0"/>
        <w:snapToGrid w:val="0"/>
        <w:spacing w:line="600" w:lineRule="exact"/>
        <w:ind w:right="51" w:firstLine="936" w:firstLineChars="3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一、部门收支总体情况表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djustRightInd w:val="0"/>
        <w:snapToGrid w:val="0"/>
        <w:spacing w:line="600" w:lineRule="exact"/>
        <w:ind w:right="51" w:firstLine="936" w:firstLineChars="3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二、部门收入总体情况表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djustRightInd w:val="0"/>
        <w:snapToGrid w:val="0"/>
        <w:spacing w:line="600" w:lineRule="exact"/>
        <w:ind w:right="51" w:firstLine="936" w:firstLineChars="3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三、部门支出总体情况表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djustRightInd w:val="0"/>
        <w:snapToGrid w:val="0"/>
        <w:spacing w:line="600" w:lineRule="exact"/>
        <w:ind w:right="51" w:firstLine="936" w:firstLineChars="3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四、财政拨款收支总体情况表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djustRightInd w:val="0"/>
        <w:snapToGrid w:val="0"/>
        <w:spacing w:line="600" w:lineRule="exact"/>
        <w:ind w:right="51" w:firstLine="936" w:firstLineChars="3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五、一般公共预算支出情况表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djustRightInd w:val="0"/>
        <w:snapToGrid w:val="0"/>
        <w:spacing w:line="600" w:lineRule="exact"/>
        <w:ind w:right="51" w:firstLine="936" w:firstLineChars="3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六、一般公共预算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基本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支出情况表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djustRightInd w:val="0"/>
        <w:snapToGrid w:val="0"/>
        <w:spacing w:line="600" w:lineRule="exact"/>
        <w:ind w:right="51" w:firstLine="936" w:firstLineChars="3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七、一般公共预算“三公”经费支出情况表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djustRightInd w:val="0"/>
        <w:snapToGrid w:val="0"/>
        <w:spacing w:line="600" w:lineRule="exact"/>
        <w:ind w:right="51" w:firstLine="936" w:firstLineChars="3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八、政府性基金预算支出情况表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djustRightInd w:val="0"/>
        <w:snapToGrid w:val="0"/>
        <w:spacing w:line="600" w:lineRule="exact"/>
        <w:ind w:right="51" w:firstLine="936" w:firstLineChars="3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九、国有资本经营预算收支情况表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djustRightInd w:val="0"/>
        <w:snapToGrid w:val="0"/>
        <w:spacing w:line="600" w:lineRule="exact"/>
        <w:ind w:right="51" w:firstLine="936" w:firstLineChars="3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十、机关运行经费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djustRightInd w:val="0"/>
        <w:snapToGrid w:val="0"/>
        <w:spacing w:line="600" w:lineRule="exact"/>
        <w:ind w:right="51" w:firstLine="936" w:firstLineChars="3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十一、预算项目支出绩效目标表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djustRightInd w:val="0"/>
        <w:snapToGrid w:val="0"/>
        <w:spacing w:line="600" w:lineRule="exact"/>
        <w:ind w:right="51" w:firstLine="936" w:firstLineChars="3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黑体" w:cs="仿宋_GB2312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黑体" w:cs="仿宋_GB2312"/>
          <w:bCs/>
          <w:color w:val="000000"/>
          <w:sz w:val="36"/>
          <w:szCs w:val="36"/>
        </w:rPr>
        <w:t>第一部分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spacing w:line="640" w:lineRule="exact"/>
        <w:ind w:firstLine="1056" w:firstLineChars="300"/>
        <w:jc w:val="both"/>
        <w:textAlignment w:val="auto"/>
        <w:rPr>
          <w:rFonts w:hint="eastAsia" w:ascii="Times New Roman" w:hAnsi="Times New Roman" w:eastAsia="黑体" w:cs="仿宋_GB2312"/>
          <w:color w:val="000000"/>
          <w:sz w:val="36"/>
          <w:szCs w:val="36"/>
        </w:rPr>
      </w:pPr>
      <w:r>
        <w:rPr>
          <w:rFonts w:hint="eastAsia" w:ascii="Times New Roman" w:hAnsi="Times New Roman" w:eastAsia="黑体"/>
          <w:color w:val="000000"/>
          <w:sz w:val="36"/>
          <w:szCs w:val="36"/>
          <w:lang w:val="en-US" w:eastAsia="zh-CN"/>
        </w:rPr>
        <w:t>洛阳市洛龙区大数据产业园管理中心</w:t>
      </w:r>
      <w:r>
        <w:rPr>
          <w:rFonts w:hint="eastAsia" w:ascii="Times New Roman" w:hAnsi="Times New Roman" w:eastAsia="黑体" w:cs="仿宋_GB2312"/>
          <w:bCs/>
          <w:color w:val="000000"/>
          <w:sz w:val="36"/>
          <w:szCs w:val="36"/>
        </w:rPr>
        <w:t>概况</w:t>
      </w:r>
    </w:p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adjustRightInd w:val="0"/>
        <w:snapToGrid w:val="0"/>
        <w:spacing w:line="640" w:lineRule="exact"/>
        <w:ind w:firstLine="624" w:firstLineChars="200"/>
        <w:jc w:val="center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wordWrap/>
        <w:topLinePunct w:val="0"/>
        <w:autoSpaceDE/>
        <w:autoSpaceDN/>
        <w:bidi w:val="0"/>
        <w:adjustRightInd w:val="0"/>
        <w:snapToGrid w:val="0"/>
        <w:spacing w:line="640" w:lineRule="exact"/>
        <w:ind w:firstLine="624" w:firstLineChars="200"/>
        <w:textAlignment w:val="auto"/>
        <w:outlineLvl w:val="0"/>
        <w:rPr>
          <w:rFonts w:hint="eastAsia" w:ascii="Times New Roman" w:hAnsi="Times New Roman" w:eastAsia="黑体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color w:val="000000"/>
          <w:sz w:val="32"/>
          <w:szCs w:val="32"/>
        </w:rPr>
        <w:t>主要职能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（一）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机构设置情况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洛龙区大数据产业园管理中心内设办公室、产业发展股和技术保障股3个职能科室。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ind w:right="3569" w:rightChars="0" w:firstLine="624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部门职责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24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贯彻落实国家、省、市、区有关大数据工作的重大决策部署；拟定并组织洛阳大数据产业园发展战略、中长期规划和年度建设计划，报请区政府批准后组织实施；协助市、区有关部门研究制定并组织实施推进基础设施建设、技术开发应用、数据资源共享开放、产业创新发展等政策措施；协助有关部门组织制定大数据收集、管理、开放、应用等相关标准规范，积极推动大数据信息资产开发应用与交易；负责统筹产业园区载体平台与基础设施建设；负责大数据产业园区管理、招商工作；负责对入驻大数据产业园的园区、平台、企业的建设运营及产业发展情况进行考核评比；完成区委、区政府交办的其他事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firstLine="624" w:firstLineChars="200"/>
        <w:jc w:val="left"/>
        <w:textAlignment w:val="auto"/>
        <w:outlineLvl w:val="0"/>
        <w:rPr>
          <w:rFonts w:hint="eastAsia" w:ascii="Times New Roman" w:hAnsi="Times New Roman" w:eastAsia="黑体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color w:val="000000"/>
          <w:sz w:val="32"/>
          <w:szCs w:val="32"/>
          <w:lang w:val="en-US" w:eastAsia="zh-CN"/>
        </w:rPr>
        <w:t>洛阳市洛龙区大数据产业园管理中心</w:t>
      </w:r>
      <w:r>
        <w:rPr>
          <w:rFonts w:hint="eastAsia" w:ascii="Times New Roman" w:hAnsi="Times New Roman" w:eastAsia="黑体" w:cs="仿宋_GB2312"/>
          <w:color w:val="000000"/>
          <w:sz w:val="32"/>
          <w:szCs w:val="32"/>
        </w:rPr>
        <w:t>预算单位构成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我单位为一个独立预算单位，没有下属预算单位。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topLinePunct w:val="0"/>
        <w:spacing w:line="600" w:lineRule="exact"/>
        <w:jc w:val="center"/>
        <w:textAlignment w:val="auto"/>
        <w:rPr>
          <w:rFonts w:hint="eastAsia" w:ascii="Times New Roman" w:hAnsi="Times New Roman" w:eastAsia="黑体" w:cs="仿宋_GB2312"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黑体" w:cs="仿宋_GB2312"/>
          <w:bCs/>
          <w:color w:val="000000"/>
          <w:sz w:val="36"/>
          <w:szCs w:val="36"/>
        </w:rPr>
        <w:t>第二部分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topLinePunct w:val="0"/>
        <w:spacing w:line="600" w:lineRule="exact"/>
        <w:jc w:val="center"/>
        <w:textAlignment w:val="auto"/>
        <w:rPr>
          <w:rFonts w:hint="eastAsia" w:ascii="Times New Roman" w:hAnsi="Times New Roman" w:eastAsia="黑体" w:cs="仿宋_GB2312"/>
          <w:bCs/>
          <w:color w:val="00000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仿宋_GB2312"/>
          <w:bCs/>
          <w:color w:val="000000"/>
          <w:sz w:val="36"/>
          <w:szCs w:val="36"/>
          <w:lang w:val="en-US" w:eastAsia="zh-CN"/>
        </w:rPr>
        <w:t>洛阳市洛龙区大数据产业园管理中心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topLinePunct w:val="0"/>
        <w:spacing w:line="600" w:lineRule="exact"/>
        <w:jc w:val="center"/>
        <w:textAlignment w:val="auto"/>
        <w:rPr>
          <w:rFonts w:hint="eastAsia" w:ascii="Times New Roman" w:hAnsi="Times New Roman" w:eastAsia="黑体" w:cs="仿宋_GB2312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黑体" w:cs="仿宋_GB2312"/>
          <w:bCs/>
          <w:color w:val="000000"/>
          <w:sz w:val="36"/>
          <w:szCs w:val="36"/>
        </w:rPr>
        <w:t>2019年度部门预算情况说明</w:t>
      </w:r>
    </w:p>
    <w:p>
      <w:pPr>
        <w:keepNext w:val="0"/>
        <w:keepLines w:val="0"/>
        <w:pageBreakBefore w:val="0"/>
        <w:wordWrap/>
        <w:topLinePunct w:val="0"/>
        <w:adjustRightInd w:val="0"/>
        <w:snapToGrid w:val="0"/>
        <w:spacing w:line="600" w:lineRule="exact"/>
        <w:ind w:firstLine="624" w:firstLineChars="200"/>
        <w:textAlignment w:val="auto"/>
        <w:outlineLvl w:val="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ordWrap/>
        <w:topLinePunct w:val="0"/>
        <w:adjustRightInd w:val="0"/>
        <w:snapToGrid w:val="0"/>
        <w:spacing w:line="600" w:lineRule="exact"/>
        <w:ind w:firstLine="624" w:firstLineChars="200"/>
        <w:textAlignment w:val="auto"/>
        <w:outlineLvl w:val="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一、收入支出预算总体情况说明</w:t>
      </w:r>
    </w:p>
    <w:p>
      <w:pPr>
        <w:keepNext w:val="0"/>
        <w:keepLines w:val="0"/>
        <w:pageBreakBefore w:val="0"/>
        <w:wordWrap/>
        <w:topLinePunct w:val="0"/>
        <w:adjustRightInd w:val="0"/>
        <w:snapToGrid w:val="0"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Arial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洛阳市洛龙区大数据产业园管理中心2019年收入22230万元，支出总计22230万元，与2018年相比，收、支总计各增加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890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4.2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%。主要原因：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按照区委、区政府工作安排，新增大数据产业园亮化经费、大数据中心物业服务费用、专项经费等。</w:t>
      </w:r>
      <w:r>
        <w:rPr>
          <w:rFonts w:hint="eastAsia" w:ascii="Times New Roman" w:hAnsi="Times New Roman" w:eastAsia="仿宋_GB2312" w:cs="Arial"/>
          <w:color w:val="00000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ordWrap/>
        <w:topLinePunct w:val="0"/>
        <w:adjustRightInd w:val="0"/>
        <w:snapToGrid w:val="0"/>
        <w:spacing w:line="600" w:lineRule="exact"/>
        <w:ind w:firstLine="624" w:firstLineChars="200"/>
        <w:textAlignment w:val="auto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二、收入预算总体情况说明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topLinePunct w:val="0"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洛阳市洛龙区大数据产业园管理中心2019年收入合计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22230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万元，其中：一般公共预算收入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22230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万元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ordWrap/>
        <w:topLinePunct w:val="0"/>
        <w:spacing w:line="600" w:lineRule="exact"/>
        <w:ind w:firstLine="624" w:firstLineChars="200"/>
        <w:textAlignment w:val="auto"/>
        <w:outlineLvl w:val="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三、支出预算总体情况说明</w:t>
      </w:r>
    </w:p>
    <w:p>
      <w:pPr>
        <w:keepNext w:val="0"/>
        <w:keepLines w:val="0"/>
        <w:pageBreakBefore w:val="0"/>
        <w:wordWrap/>
        <w:topLinePunct w:val="0"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洛阳市洛龙区大数据产业园管理中心2019年支出合计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22230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万元，其中：基本支出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67.5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万元，占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0.3</w:t>
      </w:r>
      <w:r>
        <w:rPr>
          <w:rFonts w:hint="eastAsia" w:ascii="Times New Roman" w:hAnsi="Times New Roman" w:eastAsia="仿宋_GB2312" w:cs="Arial"/>
          <w:color w:val="000000"/>
          <w:sz w:val="32"/>
          <w:szCs w:val="32"/>
        </w:rPr>
        <w:t>%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；项目支出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22162.5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万元，占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99.7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%。</w:t>
      </w:r>
    </w:p>
    <w:p>
      <w:pPr>
        <w:keepNext w:val="0"/>
        <w:keepLines w:val="0"/>
        <w:pageBreakBefore w:val="0"/>
        <w:wordWrap/>
        <w:topLinePunct w:val="0"/>
        <w:spacing w:line="600" w:lineRule="exact"/>
        <w:ind w:firstLine="624" w:firstLineChars="200"/>
        <w:textAlignment w:val="auto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四、财政拨款收入支出预算总体情况说明</w:t>
      </w:r>
    </w:p>
    <w:p>
      <w:pPr>
        <w:keepNext w:val="0"/>
        <w:keepLines w:val="0"/>
        <w:pageBreakBefore w:val="0"/>
        <w:wordWrap/>
        <w:topLinePunct w:val="0"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洛阳市洛龙区大数据产业园管理中心2019年一般公共预算收支预算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22230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万元。与 2018年相比，一般公共预算收支预算增加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890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4.2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%，主要原因：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按照区委、区政府工作安排，新增大数据产业园亮化经费、大数据中心物业服务费用、专项经费等。</w:t>
      </w:r>
    </w:p>
    <w:p>
      <w:pPr>
        <w:keepNext w:val="0"/>
        <w:keepLines w:val="0"/>
        <w:pageBreakBefore w:val="0"/>
        <w:wordWrap/>
        <w:topLinePunct w:val="0"/>
        <w:spacing w:line="600" w:lineRule="exact"/>
        <w:ind w:firstLine="624" w:firstLineChars="200"/>
        <w:textAlignment w:val="auto"/>
        <w:outlineLvl w:val="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五、一般公共预算支出预算情况说明</w:t>
      </w:r>
    </w:p>
    <w:p>
      <w:pPr>
        <w:keepNext w:val="0"/>
        <w:keepLines w:val="0"/>
        <w:pageBreakBefore w:val="0"/>
        <w:widowControl/>
        <w:wordWrap/>
        <w:topLinePunct w:val="0"/>
        <w:spacing w:line="600" w:lineRule="exact"/>
        <w:ind w:firstLine="622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洛阳市洛龙区大数据产业园管理中心2019年一般公共预算支出年初预算为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22230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万元。主要用于以下方面：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科学技术支出19824万元，占89.18%；社会保障和就业支出1182.35万元，占5.32%；卫生健康支出支出2.88万元，占0.01%；资源勘探信息等支出54.43万元，占0.24%；住房保障支出3.84万元，占0.02%；其他支出1162.5万元，占5.23%。</w:t>
      </w:r>
    </w:p>
    <w:p>
      <w:pPr>
        <w:keepNext w:val="0"/>
        <w:keepLines w:val="0"/>
        <w:pageBreakBefore w:val="0"/>
        <w:wordWrap/>
        <w:topLinePunct w:val="0"/>
        <w:spacing w:line="600" w:lineRule="exact"/>
        <w:ind w:firstLine="624" w:firstLineChars="200"/>
        <w:textAlignment w:val="auto"/>
        <w:outlineLvl w:val="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六、一般公共预算基本支出预算情况说明</w:t>
      </w:r>
    </w:p>
    <w:p>
      <w:pPr>
        <w:keepNext w:val="0"/>
        <w:keepLines w:val="0"/>
        <w:pageBreakBefore w:val="0"/>
        <w:widowControl/>
        <w:wordWrap/>
        <w:topLinePunct w:val="0"/>
        <w:spacing w:line="600" w:lineRule="exact"/>
        <w:ind w:firstLine="622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洛阳市洛龙区大数据产业园管理中心2019年一般公共预算基本支出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67.5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万元，其中：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-1"/>
          <w:kern w:val="0"/>
          <w:sz w:val="32"/>
          <w:szCs w:val="32"/>
        </w:rPr>
        <w:t>人员经费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-1"/>
          <w:kern w:val="0"/>
          <w:sz w:val="32"/>
          <w:szCs w:val="32"/>
          <w:lang w:val="en-US" w:eastAsia="zh-CN"/>
        </w:rPr>
        <w:t>63.82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</w:rPr>
        <w:t>万元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主要包括基本工资、津贴补贴、养老保险、医疗保险、工伤保险、生育保险、失业保险、住房公积金、在职人员取暖补贴、基础性绩效工资、奖励性绩效工资、年度目标考核奖、物业补贴、其他工资福利支出、平时考核奖、全国文明城市奖；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公用经费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3.68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，主要包括：综合定额公用经费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工会经费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福利费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firstLine="624" w:firstLineChars="200"/>
        <w:textAlignment w:val="auto"/>
        <w:outlineLvl w:val="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七、政府性基金预算支出预算情况说明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 w:val="0"/>
        <w:spacing w:line="600" w:lineRule="exact"/>
        <w:ind w:left="0" w:lef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我单位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2019年没有使用政府性基金预算拨款安排的支出。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bidi w:val="0"/>
        <w:snapToGrid w:val="0"/>
        <w:spacing w:line="600" w:lineRule="exact"/>
        <w:ind w:left="0" w:firstLine="624" w:firstLineChars="200"/>
        <w:jc w:val="both"/>
        <w:textAlignment w:val="auto"/>
        <w:outlineLvl w:val="9"/>
        <w:rPr>
          <w:rFonts w:hint="eastAsia"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国有资本经营预算支出预算情况说明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14" w:leftChars="304" w:firstLine="0" w:firstLineChars="0"/>
        <w:jc w:val="both"/>
        <w:textAlignment w:val="auto"/>
        <w:outlineLvl w:val="9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我单位2019年没有使用国有资本经营预算拨款安排的支出</w:t>
      </w:r>
      <w:r>
        <w:rPr>
          <w:rFonts w:hint="eastAsia" w:ascii="Times New Roman" w:hAnsi="Times New Roman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九、“三公”经费支出预算情况说明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lang w:val="en-US" w:eastAsia="zh-CN"/>
        </w:rPr>
        <w:t>我单位2019年没有“三公”经费预算，特此说明。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adjustRightInd w:val="0"/>
        <w:snapToGrid w:val="0"/>
        <w:spacing w:line="600" w:lineRule="exact"/>
        <w:ind w:firstLine="620" w:firstLineChars="200"/>
        <w:textAlignment w:val="auto"/>
        <w:outlineLvl w:val="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pacing w:val="-1"/>
          <w:kern w:val="0"/>
          <w:sz w:val="32"/>
          <w:szCs w:val="32"/>
        </w:rPr>
        <w:t>十、其他重要事项的情况说明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adjustRightInd w:val="0"/>
        <w:snapToGrid w:val="0"/>
        <w:spacing w:line="600" w:lineRule="exact"/>
        <w:ind w:firstLine="624" w:firstLineChars="200"/>
        <w:textAlignment w:val="auto"/>
        <w:outlineLvl w:val="0"/>
        <w:rPr>
          <w:rFonts w:hint="eastAsia" w:ascii="Times New Roman" w:hAnsi="Times New Roman" w:eastAsia="楷体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（一）机关运行经费支出情况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洛阳市洛龙区大数据产业园管理中心2019年机关运行经费支出预算2.4万元，主要保障机关机构正常运转及正常履职需要的办公费、印刷费、物业管理费、差旅费等支出、劳务费、委托业务费，比2018年增加0万元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24" w:firstLineChars="200"/>
        <w:textAlignment w:val="auto"/>
        <w:outlineLvl w:val="0"/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（二）政府采购支出情况</w:t>
      </w:r>
    </w:p>
    <w:p>
      <w:pPr>
        <w:keepNext w:val="0"/>
        <w:keepLines w:val="0"/>
        <w:pageBreakBefore w:val="0"/>
        <w:wordWrap/>
        <w:topLinePunct w:val="0"/>
        <w:bidi w:val="0"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我单位2019年没有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政府采购预算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支出。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24" w:firstLineChars="200"/>
        <w:textAlignment w:val="auto"/>
        <w:outlineLvl w:val="0"/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（三）关于预算绩效管理工作开展情况说明</w:t>
      </w:r>
    </w:p>
    <w:p>
      <w:pPr>
        <w:keepNext w:val="0"/>
        <w:keepLines w:val="0"/>
        <w:pageBreakBefore w:val="0"/>
        <w:wordWrap/>
        <w:topLinePunct w:val="0"/>
        <w:bidi w:val="0"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2018年,我部门对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个项目进行了预算绩效评价，涉及资金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21303.74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万元。2019年，我部门纳入预算绩效管理的支出总额为</w:t>
      </w:r>
      <w:r>
        <w:rPr>
          <w:rFonts w:hint="eastAsia" w:ascii="Times New Roman" w:hAnsi="Times New Roman" w:cs="宋体"/>
          <w:color w:val="auto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22230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万元，其中人员经费支出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63.82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万元，公用经费支出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3.68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万元，支出项目共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个，支出总额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22162.5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万元，其中预算支出100万元及100万元以上项目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个，支出总额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22032.2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万元。</w:t>
      </w:r>
    </w:p>
    <w:p>
      <w:pPr>
        <w:keepNext w:val="0"/>
        <w:keepLines w:val="0"/>
        <w:pageBreakBefore w:val="0"/>
        <w:wordWrap/>
        <w:topLinePunct w:val="0"/>
        <w:bidi w:val="0"/>
        <w:spacing w:line="600" w:lineRule="exact"/>
        <w:ind w:left="404" w:leftChars="200"/>
        <w:textAlignment w:val="auto"/>
        <w:rPr>
          <w:rFonts w:hint="eastAsia" w:ascii="Times New Roman" w:hAnsi="Times New Roman" w:eastAsia="楷体_GB2312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仿宋_GB2312"/>
          <w:bCs/>
          <w:color w:val="000000"/>
          <w:sz w:val="32"/>
          <w:szCs w:val="32"/>
        </w:rPr>
        <w:t>（四）国有资产占用情况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adjustRightInd w:val="0"/>
        <w:snapToGrid w:val="0"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2018年期末，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洛阳市洛龙区大数据产业园管理中心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固定资产总额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20.59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万元，其中，房屋建筑物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万元，车辆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万元。共有车辆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辆，其中：一般公务用车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辆，执法执勤车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辆；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单价50万元以上通用设备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台（套），单位价值100万元以上专用设备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台（套）。</w:t>
      </w:r>
    </w:p>
    <w:p>
      <w:pPr>
        <w:keepNext w:val="0"/>
        <w:keepLines w:val="0"/>
        <w:pageBreakBefore w:val="0"/>
        <w:wordWrap/>
        <w:topLinePunct w:val="0"/>
        <w:bidi w:val="0"/>
        <w:spacing w:line="600" w:lineRule="exact"/>
        <w:ind w:left="404" w:leftChars="200"/>
        <w:textAlignment w:val="auto"/>
        <w:rPr>
          <w:rFonts w:hint="eastAsia" w:ascii="Times New Roman" w:hAnsi="Times New Roman" w:eastAsia="楷体_GB2312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仿宋_GB2312"/>
          <w:bCs/>
          <w:color w:val="000000"/>
          <w:sz w:val="32"/>
          <w:szCs w:val="32"/>
          <w:lang w:val="en-US" w:eastAsia="zh-CN"/>
        </w:rPr>
        <w:t>（五）</w:t>
      </w:r>
      <w:r>
        <w:rPr>
          <w:rFonts w:hint="eastAsia" w:ascii="Times New Roman" w:hAnsi="Times New Roman" w:eastAsia="楷体_GB2312" w:cs="仿宋_GB2312"/>
          <w:bCs/>
          <w:color w:val="000000"/>
          <w:sz w:val="32"/>
          <w:szCs w:val="32"/>
        </w:rPr>
        <w:t>关于预算部门构成说明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2019年我单位按照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财政预算公开要求，将所属预算单位全部纳入预算公开范围。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ordWrap/>
        <w:topLinePunct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黑体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黑体"/>
          <w:bCs/>
          <w:color w:val="000000"/>
          <w:sz w:val="36"/>
          <w:szCs w:val="36"/>
        </w:rPr>
        <w:t>第三部分  名词解释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adjustRightInd w:val="0"/>
        <w:snapToGrid w:val="0"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adjustRightInd w:val="0"/>
        <w:snapToGrid w:val="0"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一、财政拨款收入：是指市级财政当年拨付的资金。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adjustRightInd w:val="0"/>
        <w:snapToGrid w:val="0"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二、事业收入：是指事业单位开展专业活动及辅助活动所取 得的收入。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adjustRightInd w:val="0"/>
        <w:snapToGrid w:val="0"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adjustRightInd w:val="0"/>
        <w:snapToGrid w:val="0"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四、基本支出：是指为保障机构正常运转、完成日常工作任务所必需的开支，其内容包括人员经费和日常公用经费两部分。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adjustRightInd w:val="0"/>
        <w:snapToGrid w:val="0"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五、项目支出：是指在基本支出之外，为完成特定的行政工作任务或事业发展目标所发生的支出。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六、“三公”经费：是指纳入市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Courier New"/>
          <w:color w:val="000000"/>
          <w:sz w:val="32"/>
          <w:szCs w:val="32"/>
        </w:rPr>
        <w:t>七、机关运行经费：是指为保障行政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机构正常运转及正常履职需要的办公费、水电费、日常维修、物业费、维修费、差旅费、</w:t>
      </w:r>
      <w:r>
        <w:rPr>
          <w:rFonts w:hint="eastAsia" w:ascii="Times New Roman" w:hAnsi="Times New Roman" w:eastAsia="仿宋_GB2312" w:cs="Courier New"/>
          <w:color w:val="000000"/>
          <w:sz w:val="32"/>
          <w:szCs w:val="32"/>
        </w:rPr>
        <w:t>公务用车运行维护费以及其他费用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等支出。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八、其他（专业性较强的需向社会做出说明的名词）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adjustRightInd w:val="0"/>
        <w:snapToGrid w:val="0"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ordWrap/>
        <w:topLinePunct w:val="0"/>
        <w:adjustRightInd w:val="0"/>
        <w:snapToGrid w:val="0"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ordWrap/>
        <w:topLinePunct w:val="0"/>
        <w:adjustRightInd w:val="0"/>
        <w:snapToGrid w:val="0"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附件：洛阳市洛龙区大数据产业园管理中心2019年度部门预算表</w:t>
      </w:r>
    </w:p>
    <w:p>
      <w:pPr>
        <w:keepNext w:val="0"/>
        <w:keepLines w:val="0"/>
        <w:pageBreakBefore w:val="0"/>
        <w:wordWrap/>
        <w:topLinePunct w:val="0"/>
        <w:adjustRightInd w:val="0"/>
        <w:snapToGrid w:val="0"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ordWrap/>
        <w:topLinePunct w:val="0"/>
        <w:adjustRightInd w:val="0"/>
        <w:snapToGrid w:val="0"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ordWrap/>
        <w:topLinePunct w:val="0"/>
        <w:adjustRightInd w:val="0"/>
        <w:snapToGrid w:val="0"/>
        <w:spacing w:line="600" w:lineRule="exact"/>
        <w:ind w:firstLine="6240" w:firstLineChars="2000"/>
        <w:textAlignment w:val="auto"/>
        <w:rPr>
          <w:rFonts w:hint="eastAsia" w:ascii="Times New Roman" w:hAnsi="Times New Roman" w:eastAsia="仿宋_GB2312" w:cs="仿宋_GB2312"/>
          <w:color w:val="000000"/>
          <w:highlight w:val="magenta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2019年3月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ordWrap/>
        <w:topLinePunct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/>
          <w:color w:val="00000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758" w:left="1531" w:header="851" w:footer="1191" w:gutter="0"/>
      <w:cols w:space="720" w:num="1"/>
      <w:docGrid w:type="linesAndChars" w:linePitch="312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8D4BA8"/>
    <w:multiLevelType w:val="singleLevel"/>
    <w:tmpl w:val="CA8D4BA8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796DEC"/>
    <w:multiLevelType w:val="singleLevel"/>
    <w:tmpl w:val="5A796DE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1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CF79BF"/>
    <w:rsid w:val="01E50644"/>
    <w:rsid w:val="020B0BEB"/>
    <w:rsid w:val="023273A7"/>
    <w:rsid w:val="02BA523C"/>
    <w:rsid w:val="02EE2759"/>
    <w:rsid w:val="03060F9C"/>
    <w:rsid w:val="035C3E88"/>
    <w:rsid w:val="03742160"/>
    <w:rsid w:val="04110353"/>
    <w:rsid w:val="0525052B"/>
    <w:rsid w:val="056100B7"/>
    <w:rsid w:val="059D7FA4"/>
    <w:rsid w:val="063B4208"/>
    <w:rsid w:val="0650522D"/>
    <w:rsid w:val="068F0B3C"/>
    <w:rsid w:val="06DE6F9A"/>
    <w:rsid w:val="06DE7657"/>
    <w:rsid w:val="08DB1261"/>
    <w:rsid w:val="0A0A57DB"/>
    <w:rsid w:val="0B226BDC"/>
    <w:rsid w:val="0D977809"/>
    <w:rsid w:val="0D9C6D27"/>
    <w:rsid w:val="0E1365F4"/>
    <w:rsid w:val="0E3A7148"/>
    <w:rsid w:val="0E9850F4"/>
    <w:rsid w:val="0FFA3FBE"/>
    <w:rsid w:val="0FFA7515"/>
    <w:rsid w:val="10094D74"/>
    <w:rsid w:val="100B489E"/>
    <w:rsid w:val="106776ED"/>
    <w:rsid w:val="10865053"/>
    <w:rsid w:val="10D240A1"/>
    <w:rsid w:val="132E356F"/>
    <w:rsid w:val="13853EE9"/>
    <w:rsid w:val="143F7CE7"/>
    <w:rsid w:val="1450178A"/>
    <w:rsid w:val="14723B86"/>
    <w:rsid w:val="14A43FCE"/>
    <w:rsid w:val="14BF1E76"/>
    <w:rsid w:val="15367845"/>
    <w:rsid w:val="15CD612F"/>
    <w:rsid w:val="165A7885"/>
    <w:rsid w:val="168142EA"/>
    <w:rsid w:val="17956BD4"/>
    <w:rsid w:val="188E3C74"/>
    <w:rsid w:val="18B77129"/>
    <w:rsid w:val="194C7F3D"/>
    <w:rsid w:val="19AF68F1"/>
    <w:rsid w:val="19EE75E2"/>
    <w:rsid w:val="1A09188B"/>
    <w:rsid w:val="1A933156"/>
    <w:rsid w:val="1AE35187"/>
    <w:rsid w:val="1BB51A35"/>
    <w:rsid w:val="1C3F0A6C"/>
    <w:rsid w:val="1C9D3210"/>
    <w:rsid w:val="1CCE6FF6"/>
    <w:rsid w:val="1D1445E4"/>
    <w:rsid w:val="1D910E3D"/>
    <w:rsid w:val="1EB249FE"/>
    <w:rsid w:val="217F1A13"/>
    <w:rsid w:val="219B35CB"/>
    <w:rsid w:val="21CB2E20"/>
    <w:rsid w:val="22F636FB"/>
    <w:rsid w:val="233A04CF"/>
    <w:rsid w:val="248D1CF5"/>
    <w:rsid w:val="24FD6D41"/>
    <w:rsid w:val="254B1ECA"/>
    <w:rsid w:val="25533B38"/>
    <w:rsid w:val="25930615"/>
    <w:rsid w:val="25EF736F"/>
    <w:rsid w:val="26081CED"/>
    <w:rsid w:val="265D3C34"/>
    <w:rsid w:val="2685624C"/>
    <w:rsid w:val="269903BA"/>
    <w:rsid w:val="26A734B0"/>
    <w:rsid w:val="282F2C0D"/>
    <w:rsid w:val="28A40FD1"/>
    <w:rsid w:val="28C07A81"/>
    <w:rsid w:val="29C86D64"/>
    <w:rsid w:val="2A0A0947"/>
    <w:rsid w:val="2A340EF9"/>
    <w:rsid w:val="2A581B01"/>
    <w:rsid w:val="2A6F00C2"/>
    <w:rsid w:val="2B02485F"/>
    <w:rsid w:val="2BF676E1"/>
    <w:rsid w:val="2C1E4DE0"/>
    <w:rsid w:val="2CA9181F"/>
    <w:rsid w:val="2D766979"/>
    <w:rsid w:val="2D7B72DF"/>
    <w:rsid w:val="2D9C28FD"/>
    <w:rsid w:val="2F9A59A8"/>
    <w:rsid w:val="2FE64396"/>
    <w:rsid w:val="306D305C"/>
    <w:rsid w:val="31CA704D"/>
    <w:rsid w:val="33404FF2"/>
    <w:rsid w:val="33CF75B0"/>
    <w:rsid w:val="357A320E"/>
    <w:rsid w:val="36AB67AC"/>
    <w:rsid w:val="36D3763A"/>
    <w:rsid w:val="37C60BC7"/>
    <w:rsid w:val="38195BB0"/>
    <w:rsid w:val="38E46655"/>
    <w:rsid w:val="38F85C6A"/>
    <w:rsid w:val="39433B42"/>
    <w:rsid w:val="3999703E"/>
    <w:rsid w:val="3C0F12B6"/>
    <w:rsid w:val="3D6E7CC6"/>
    <w:rsid w:val="3D735931"/>
    <w:rsid w:val="3E286909"/>
    <w:rsid w:val="3E396482"/>
    <w:rsid w:val="3EA00C1E"/>
    <w:rsid w:val="3ECF39D7"/>
    <w:rsid w:val="3FDA5FC3"/>
    <w:rsid w:val="3FDF0C45"/>
    <w:rsid w:val="400E3E1F"/>
    <w:rsid w:val="40361948"/>
    <w:rsid w:val="4060028A"/>
    <w:rsid w:val="40721241"/>
    <w:rsid w:val="41110E9A"/>
    <w:rsid w:val="4135364C"/>
    <w:rsid w:val="42A74D67"/>
    <w:rsid w:val="42EE6C17"/>
    <w:rsid w:val="42FD39E3"/>
    <w:rsid w:val="43FA4BC8"/>
    <w:rsid w:val="45067970"/>
    <w:rsid w:val="45155EAA"/>
    <w:rsid w:val="458A5C87"/>
    <w:rsid w:val="464D6A68"/>
    <w:rsid w:val="46E45C9A"/>
    <w:rsid w:val="47214A54"/>
    <w:rsid w:val="47C94C58"/>
    <w:rsid w:val="47E50C44"/>
    <w:rsid w:val="48AD62A6"/>
    <w:rsid w:val="49465DA0"/>
    <w:rsid w:val="49562184"/>
    <w:rsid w:val="49A96BD9"/>
    <w:rsid w:val="4BA07B88"/>
    <w:rsid w:val="4BAD276F"/>
    <w:rsid w:val="4BDB2C78"/>
    <w:rsid w:val="4CF22AC6"/>
    <w:rsid w:val="4ED42A79"/>
    <w:rsid w:val="4F366C4C"/>
    <w:rsid w:val="4FBA0EE3"/>
    <w:rsid w:val="4FF83FE0"/>
    <w:rsid w:val="505C490E"/>
    <w:rsid w:val="52C120B9"/>
    <w:rsid w:val="531E5F38"/>
    <w:rsid w:val="534A6226"/>
    <w:rsid w:val="53EF5B41"/>
    <w:rsid w:val="5564421C"/>
    <w:rsid w:val="56260C90"/>
    <w:rsid w:val="566136FC"/>
    <w:rsid w:val="57261BDE"/>
    <w:rsid w:val="574D02DA"/>
    <w:rsid w:val="57D05A86"/>
    <w:rsid w:val="57EB7254"/>
    <w:rsid w:val="588F1A5E"/>
    <w:rsid w:val="5916011B"/>
    <w:rsid w:val="595C2213"/>
    <w:rsid w:val="5A1E5AAD"/>
    <w:rsid w:val="5A7A310E"/>
    <w:rsid w:val="5ACC4637"/>
    <w:rsid w:val="5AF70ED5"/>
    <w:rsid w:val="5BAC0537"/>
    <w:rsid w:val="5C6C34ED"/>
    <w:rsid w:val="5D4C6D19"/>
    <w:rsid w:val="5D943A49"/>
    <w:rsid w:val="5DA707A7"/>
    <w:rsid w:val="5E3D2FFD"/>
    <w:rsid w:val="5E891176"/>
    <w:rsid w:val="5EC51A81"/>
    <w:rsid w:val="5ED0217A"/>
    <w:rsid w:val="5F0163FE"/>
    <w:rsid w:val="5F9E640A"/>
    <w:rsid w:val="5FC95BA7"/>
    <w:rsid w:val="5FCC733B"/>
    <w:rsid w:val="5FCD131E"/>
    <w:rsid w:val="61214AA2"/>
    <w:rsid w:val="61E8076C"/>
    <w:rsid w:val="62704AB0"/>
    <w:rsid w:val="62A16396"/>
    <w:rsid w:val="62CA77BF"/>
    <w:rsid w:val="636A0F8A"/>
    <w:rsid w:val="64F64B05"/>
    <w:rsid w:val="65CD2FBB"/>
    <w:rsid w:val="66040521"/>
    <w:rsid w:val="66081796"/>
    <w:rsid w:val="66CE7B9D"/>
    <w:rsid w:val="6835065B"/>
    <w:rsid w:val="68C86FB2"/>
    <w:rsid w:val="69416F41"/>
    <w:rsid w:val="696812C5"/>
    <w:rsid w:val="6A3956B1"/>
    <w:rsid w:val="6A9049B2"/>
    <w:rsid w:val="6AE95297"/>
    <w:rsid w:val="6B1F2089"/>
    <w:rsid w:val="6BC807B5"/>
    <w:rsid w:val="6BD24ADD"/>
    <w:rsid w:val="6C25160D"/>
    <w:rsid w:val="6C6F6089"/>
    <w:rsid w:val="6C722131"/>
    <w:rsid w:val="6D563B8B"/>
    <w:rsid w:val="6DD26865"/>
    <w:rsid w:val="6E8610BC"/>
    <w:rsid w:val="6F6B4EFF"/>
    <w:rsid w:val="6FAC6DED"/>
    <w:rsid w:val="70795917"/>
    <w:rsid w:val="70817F8B"/>
    <w:rsid w:val="710F1653"/>
    <w:rsid w:val="72BE6C70"/>
    <w:rsid w:val="72D22DF7"/>
    <w:rsid w:val="74DA4C5E"/>
    <w:rsid w:val="75250ACA"/>
    <w:rsid w:val="76263AC1"/>
    <w:rsid w:val="770D31DB"/>
    <w:rsid w:val="775C47FC"/>
    <w:rsid w:val="77C851AC"/>
    <w:rsid w:val="77E80330"/>
    <w:rsid w:val="788C631E"/>
    <w:rsid w:val="791A1529"/>
    <w:rsid w:val="792E4E2F"/>
    <w:rsid w:val="7A9F0C54"/>
    <w:rsid w:val="7D950EA2"/>
    <w:rsid w:val="7E4120D8"/>
    <w:rsid w:val="7E6E3289"/>
    <w:rsid w:val="7EAF1632"/>
    <w:rsid w:val="7FE873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ind w:left="761"/>
      <w:jc w:val="left"/>
    </w:pPr>
    <w:rPr>
      <w:rFonts w:ascii="仿宋_GB2312" w:eastAsia="仿宋_GB2312"/>
      <w:sz w:val="32"/>
      <w:szCs w:val="32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710</Words>
  <Characters>4049</Characters>
  <Lines>33</Lines>
  <Paragraphs>9</Paragraphs>
  <TotalTime>19</TotalTime>
  <ScaleCrop>false</ScaleCrop>
  <LinksUpToDate>false</LinksUpToDate>
  <CharactersWithSpaces>4750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2019-03-05T03:55:00Z</dcterms:created>
  <dc:creator>Administrator</dc:creator>
  <cp:lastModifiedBy>499969005qqcom</cp:lastModifiedBy>
  <cp:lastPrinted>2019-03-05T08:57:00Z</cp:lastPrinted>
  <dcterms:modified xsi:type="dcterms:W3CDTF">2019-12-17T09:29:00Z</dcterms:modified>
  <dc:title>焦作市财政局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