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洛龙区纪律检查委员会部门基本情况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一、部门</w:t>
      </w:r>
      <w:r>
        <w:rPr>
          <w:rFonts w:hint="eastAsia" w:eastAsia="楷体_GB2312"/>
          <w:sz w:val="32"/>
          <w:szCs w:val="32"/>
          <w:lang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主要职能是：维护党的章程和党内法规，检查党的路线、方针、政策和决议的执行情况，抓好党风廉政建设，实施《行政监察法》规定范围内的监督，开展全区预防腐败工作等。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机构设置情况</w:t>
      </w:r>
    </w:p>
    <w:p>
      <w:pPr>
        <w:numPr>
          <w:ilvl w:val="0"/>
          <w:numId w:val="0"/>
        </w:numPr>
        <w:ind w:firstLine="42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区纪律检查委员会、区监察局合署办公，机关内设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办公室、党风政风室、案件管理室、审理室、组织部、宣传部、信访室、案件一室、案件二室、案件三室10</w:t>
      </w:r>
      <w:r>
        <w:rPr>
          <w:rFonts w:hint="eastAsia" w:ascii="仿宋" w:hAnsi="仿宋" w:eastAsia="仿宋" w:cs="仿宋"/>
          <w:sz w:val="32"/>
          <w:szCs w:val="32"/>
        </w:rPr>
        <w:t>个职能科室和区纪委电教信息网络管理中心1个归口预算单位。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区纪律检查委员会机关及归口预算管理单位共有编制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人，事业编制7人；在职职工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人，离退休人员2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三、预算年度主要工作任务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监督检查党的路线、方针、政策和决议的执行情况，抓好党风廉政建设，联系、协调、指导和承办违法违纪案件，开展全区预防腐败工作等。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B4C4E"/>
    <w:multiLevelType w:val="singleLevel"/>
    <w:tmpl w:val="9CFB4C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E29D2"/>
    <w:rsid w:val="2D540312"/>
    <w:rsid w:val="6AEF4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财务</cp:lastModifiedBy>
  <dcterms:modified xsi:type="dcterms:W3CDTF">2018-01-29T09:46:56Z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