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jc w:val="center"/>
        <w:rPr>
          <w:rFonts w:hint="eastAsia" w:ascii="微软雅黑" w:hAnsi="微软雅黑" w:eastAsia="微软雅黑" w:cs="宋体"/>
          <w:color w:val="000000"/>
          <w:kern w:val="0"/>
          <w:szCs w:val="21"/>
        </w:rPr>
      </w:pPr>
      <w:r>
        <w:rPr>
          <w:rFonts w:hint="eastAsia" w:ascii="微软雅黑" w:hAnsi="微软雅黑" w:eastAsia="微软雅黑" w:cs="宋体"/>
          <w:b/>
          <w:bCs/>
          <w:color w:val="185895"/>
          <w:kern w:val="0"/>
          <w:sz w:val="36"/>
          <w:szCs w:val="36"/>
        </w:rPr>
        <w:t>201</w:t>
      </w:r>
      <w:r>
        <w:rPr>
          <w:rFonts w:hint="eastAsia" w:ascii="微软雅黑" w:hAnsi="微软雅黑" w:eastAsia="微软雅黑" w:cs="宋体"/>
          <w:b/>
          <w:bCs/>
          <w:color w:val="185895"/>
          <w:kern w:val="0"/>
          <w:sz w:val="36"/>
          <w:szCs w:val="36"/>
          <w:lang w:val="en-US" w:eastAsia="zh-CN"/>
        </w:rPr>
        <w:t>6</w:t>
      </w:r>
      <w:r>
        <w:rPr>
          <w:rFonts w:hint="eastAsia" w:ascii="微软雅黑" w:hAnsi="微软雅黑" w:eastAsia="微软雅黑" w:cs="宋体"/>
          <w:b/>
          <w:bCs/>
          <w:color w:val="185895"/>
          <w:kern w:val="0"/>
          <w:sz w:val="36"/>
          <w:szCs w:val="36"/>
        </w:rPr>
        <w:t>年财政收支预算相关名词解释</w:t>
      </w:r>
      <w:r>
        <w:rPr>
          <w:rFonts w:hint="eastAsia" w:ascii="微软雅黑" w:hAnsi="微软雅黑" w:eastAsia="微软雅黑" w:cs="宋体"/>
          <w:b/>
          <w:bCs/>
          <w:color w:val="185895"/>
          <w:kern w:val="0"/>
          <w:sz w:val="36"/>
          <w:szCs w:val="36"/>
        </w:rPr>
        <w:br/>
      </w:r>
      <w:r>
        <w:rPr>
          <w:rFonts w:hint="eastAsia" w:ascii="微软雅黑" w:hAnsi="微软雅黑" w:eastAsia="微软雅黑" w:cs="宋体"/>
          <w:b/>
          <w:bCs/>
          <w:color w:val="185895"/>
          <w:kern w:val="0"/>
          <w:sz w:val="36"/>
          <w:szCs w:val="36"/>
        </w:rPr>
        <w:br/>
      </w:r>
      <w:r>
        <w:rPr>
          <w:rFonts w:hint="eastAsia" w:ascii="微软雅黑" w:hAnsi="微软雅黑" w:eastAsia="微软雅黑" w:cs="宋体"/>
          <w:color w:val="185895"/>
          <w:kern w:val="0"/>
          <w:sz w:val="23"/>
          <w:szCs w:val="23"/>
        </w:rPr>
        <w:t>201</w:t>
      </w:r>
      <w:r>
        <w:rPr>
          <w:rFonts w:hint="eastAsia" w:ascii="微软雅黑" w:hAnsi="微软雅黑" w:eastAsia="微软雅黑" w:cs="宋体"/>
          <w:color w:val="185895"/>
          <w:kern w:val="0"/>
          <w:sz w:val="23"/>
          <w:szCs w:val="23"/>
          <w:lang w:val="en-US" w:eastAsia="zh-CN"/>
        </w:rPr>
        <w:t>6</w:t>
      </w:r>
      <w:r>
        <w:rPr>
          <w:rFonts w:hint="eastAsia" w:ascii="微软雅黑" w:hAnsi="微软雅黑" w:eastAsia="微软雅黑" w:cs="宋体"/>
          <w:color w:val="185895"/>
          <w:kern w:val="0"/>
          <w:sz w:val="23"/>
          <w:szCs w:val="23"/>
        </w:rPr>
        <w:t>-03-</w:t>
      </w:r>
      <w:r>
        <w:rPr>
          <w:rFonts w:hint="eastAsia" w:ascii="微软雅黑" w:hAnsi="微软雅黑" w:eastAsia="微软雅黑" w:cs="宋体"/>
          <w:color w:val="185895"/>
          <w:kern w:val="0"/>
          <w:sz w:val="23"/>
          <w:szCs w:val="23"/>
          <w:lang w:val="en-US" w:eastAsia="zh-CN"/>
        </w:rPr>
        <w:t>15</w:t>
      </w:r>
      <w:bookmarkStart w:id="0" w:name="_GoBack"/>
      <w:bookmarkEnd w:id="0"/>
      <w:r>
        <w:rPr>
          <w:rFonts w:hint="eastAsia" w:ascii="微软雅黑" w:hAnsi="微软雅黑" w:eastAsia="微软雅黑" w:cs="宋体"/>
          <w:color w:val="000000"/>
          <w:kern w:val="0"/>
          <w:sz w:val="21"/>
          <w:szCs w:val="21"/>
          <w:lang w:val="en-US" w:eastAsia="zh-CN" w:bidi="ar-SA"/>
        </w:rPr>
        <w:pict>
          <v:rect id="_x0000_i1025" o:spid="_x0000_s1025" style="height:1.5pt;width:415.3pt;rotation:0f;" o:ole="f" fillcolor="#A0A0A0" filled="t" o:preferrelative="t" stroked="f" coordsize="21600,21600">
            <v:imagedata gain="65536f" blacklevel="0f" gamma="0"/>
            <o:lock v:ext="edit" position="f" selection="f" grouping="f" rotation="t" cropping="f" text="f" aspectratio="f"/>
            <w10:wrap type="none"/>
            <w10:anchorlock/>
          </v:rect>
        </w:pict>
      </w:r>
    </w:p>
    <w:p>
      <w:pPr>
        <w:widowControl/>
        <w:shd w:val="clear" w:color="auto" w:fill="FFFFFF"/>
        <w:spacing w:line="600" w:lineRule="atLeast"/>
        <w:jc w:val="center"/>
        <w:rPr>
          <w:rFonts w:hint="eastAsia" w:ascii="微软雅黑" w:hAnsi="微软雅黑" w:eastAsia="微软雅黑" w:cs="宋体"/>
          <w:color w:val="000000"/>
          <w:kern w:val="0"/>
          <w:szCs w:val="21"/>
        </w:rPr>
      </w:pPr>
      <w:r>
        <w:rPr>
          <w:rFonts w:hint="eastAsia" w:ascii="方正小标宋简体" w:hAnsi="微软雅黑" w:eastAsia="方正小标宋简体" w:cs="宋体"/>
          <w:color w:val="000000"/>
          <w:kern w:val="0"/>
          <w:sz w:val="44"/>
          <w:szCs w:val="44"/>
        </w:rPr>
        <w:t>名</w:t>
      </w:r>
      <w:r>
        <w:rPr>
          <w:rFonts w:hint="eastAsia" w:ascii="方正小标宋简体" w:hAnsi="微软雅黑" w:eastAsia="方正小标宋简体" w:cs="宋体"/>
          <w:color w:val="000000"/>
          <w:kern w:val="0"/>
          <w:sz w:val="44"/>
        </w:rPr>
        <w:t> </w:t>
      </w:r>
      <w:r>
        <w:rPr>
          <w:rFonts w:hint="eastAsia" w:ascii="方正小标宋简体" w:hAnsi="微软雅黑" w:eastAsia="方正小标宋简体" w:cs="宋体"/>
          <w:color w:val="000000"/>
          <w:kern w:val="0"/>
          <w:sz w:val="44"/>
          <w:szCs w:val="44"/>
        </w:rPr>
        <w:t> 词</w:t>
      </w:r>
      <w:r>
        <w:rPr>
          <w:rFonts w:hint="eastAsia" w:ascii="方正小标宋简体" w:hAnsi="微软雅黑" w:eastAsia="方正小标宋简体" w:cs="宋体"/>
          <w:color w:val="000000"/>
          <w:kern w:val="0"/>
          <w:sz w:val="44"/>
        </w:rPr>
        <w:t> </w:t>
      </w:r>
      <w:r>
        <w:rPr>
          <w:rFonts w:hint="eastAsia" w:ascii="方正小标宋简体" w:hAnsi="微软雅黑" w:eastAsia="方正小标宋简体" w:cs="宋体"/>
          <w:color w:val="000000"/>
          <w:kern w:val="0"/>
          <w:sz w:val="44"/>
          <w:szCs w:val="44"/>
        </w:rPr>
        <w:t> 解</w:t>
      </w:r>
      <w:r>
        <w:rPr>
          <w:rFonts w:hint="eastAsia" w:ascii="方正小标宋简体" w:hAnsi="微软雅黑" w:eastAsia="方正小标宋简体" w:cs="宋体"/>
          <w:color w:val="000000"/>
          <w:kern w:val="0"/>
          <w:sz w:val="44"/>
        </w:rPr>
        <w:t> </w:t>
      </w:r>
      <w:r>
        <w:rPr>
          <w:rFonts w:hint="eastAsia" w:ascii="方正小标宋简体" w:hAnsi="微软雅黑" w:eastAsia="方正小标宋简体" w:cs="宋体"/>
          <w:color w:val="000000"/>
          <w:kern w:val="0"/>
          <w:sz w:val="44"/>
          <w:szCs w:val="44"/>
        </w:rPr>
        <w:t> 释</w:t>
      </w:r>
    </w:p>
    <w:p>
      <w:pPr>
        <w:widowControl/>
        <w:shd w:val="clear" w:color="auto" w:fill="FFFFFF"/>
        <w:spacing w:line="600" w:lineRule="atLeast"/>
        <w:jc w:val="center"/>
        <w:rPr>
          <w:rFonts w:hint="eastAsia" w:ascii="微软雅黑" w:hAnsi="微软雅黑" w:eastAsia="微软雅黑" w:cs="宋体"/>
          <w:color w:val="000000"/>
          <w:kern w:val="0"/>
          <w:szCs w:val="21"/>
        </w:rPr>
      </w:pPr>
      <w:r>
        <w:rPr>
          <w:rFonts w:hint="eastAsia" w:ascii="方正小标宋简体" w:hAnsi="微软雅黑" w:eastAsia="方正小标宋简体" w:cs="宋体"/>
          <w:color w:val="000000"/>
          <w:kern w:val="0"/>
          <w:sz w:val="44"/>
          <w:szCs w:val="44"/>
        </w:rPr>
        <w:t> </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微软雅黑" w:eastAsia="仿宋_GB2312" w:cs="宋体"/>
          <w:b/>
          <w:bCs/>
          <w:color w:val="000000"/>
          <w:kern w:val="0"/>
          <w:sz w:val="32"/>
        </w:rPr>
        <w:t>公共财政：</w:t>
      </w:r>
      <w:r>
        <w:rPr>
          <w:rFonts w:hint="eastAsia" w:ascii="仿宋_GB2312" w:hAnsi="微软雅黑" w:eastAsia="仿宋_GB2312" w:cs="宋体"/>
          <w:color w:val="000000"/>
          <w:kern w:val="0"/>
          <w:sz w:val="32"/>
          <w:szCs w:val="32"/>
        </w:rPr>
        <w:t>指在市场经济条件下，主要为满足</w:t>
      </w:r>
      <w:r>
        <w:rPr>
          <w:rFonts w:hint="eastAsia" w:ascii="仿宋_GB2312" w:hAnsi="Times New Roman" w:eastAsia="仿宋_GB2312" w:cs="Times New Roman"/>
          <w:color w:val="000000"/>
          <w:kern w:val="0"/>
          <w:sz w:val="32"/>
          <w:szCs w:val="32"/>
        </w:rPr>
        <w:t>社会公共需要而进行的政府收支活动模式或财政运行机制模式。具体来说，公共财政是国家以社会和经济管理者的身份从市场上取得收入，并将这些收入用于政府的公共活动支出，为社会提供公共产品和公共服务，以保证国家机器正常运转，保障国家安全，维护社会秩序，实现经济社会的协调发展。</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预算：</w:t>
      </w:r>
      <w:r>
        <w:rPr>
          <w:rFonts w:hint="eastAsia" w:ascii="仿宋_GB2312" w:hAnsi="Times New Roman" w:eastAsia="仿宋_GB2312" w:cs="Times New Roman"/>
          <w:color w:val="000000"/>
          <w:kern w:val="0"/>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预算稳定调节基金：</w:t>
      </w:r>
      <w:r>
        <w:rPr>
          <w:rFonts w:hint="eastAsia" w:ascii="仿宋_GB2312" w:hAnsi="Times New Roman" w:eastAsia="仿宋_GB2312" w:cs="Times New Roman"/>
          <w:color w:val="000000"/>
          <w:kern w:val="0"/>
          <w:sz w:val="32"/>
          <w:szCs w:val="32"/>
        </w:rPr>
        <w:t>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预备费：</w:t>
      </w:r>
      <w:r>
        <w:rPr>
          <w:rFonts w:hint="eastAsia" w:ascii="仿宋_GB2312" w:hAnsi="Times New Roman" w:eastAsia="仿宋_GB2312" w:cs="Times New Roman"/>
          <w:color w:val="000000"/>
          <w:kern w:val="0"/>
          <w:sz w:val="32"/>
          <w:szCs w:val="32"/>
        </w:rPr>
        <w:t>在编制预算中按照一般公共预算支出额的</w:t>
      </w:r>
      <w:r>
        <w:rPr>
          <w:rFonts w:ascii="Times New Roman" w:hAnsi="Times New Roman" w:eastAsia="微软雅黑" w:cs="Times New Roman"/>
          <w:color w:val="000000"/>
          <w:kern w:val="0"/>
          <w:sz w:val="32"/>
          <w:szCs w:val="32"/>
        </w:rPr>
        <w:t>1%</w:t>
      </w:r>
      <w:r>
        <w:rPr>
          <w:rFonts w:hint="eastAsia" w:ascii="仿宋_GB2312" w:hAnsi="微软雅黑" w:eastAsia="仿宋_GB2312" w:cs="宋体"/>
          <w:color w:val="000000"/>
          <w:kern w:val="0"/>
          <w:sz w:val="32"/>
          <w:szCs w:val="32"/>
        </w:rPr>
        <w:t>—</w:t>
      </w:r>
      <w:r>
        <w:rPr>
          <w:rFonts w:ascii="Times New Roman" w:hAnsi="Times New Roman" w:eastAsia="微软雅黑" w:cs="Times New Roman"/>
          <w:color w:val="000000"/>
          <w:kern w:val="0"/>
          <w:sz w:val="32"/>
          <w:szCs w:val="32"/>
        </w:rPr>
        <w:t>3%</w:t>
      </w:r>
      <w:r>
        <w:rPr>
          <w:rFonts w:hint="eastAsia" w:ascii="仿宋_GB2312" w:hAnsi="Times New Roman" w:eastAsia="仿宋_GB2312" w:cs="Times New Roman"/>
          <w:color w:val="000000"/>
          <w:kern w:val="0"/>
          <w:sz w:val="32"/>
          <w:szCs w:val="32"/>
        </w:rPr>
        <w:t>设置预备费，用于当年预算执行中的自然灾害等突发事件处理增加的支出及其他难以预见的开支。预备费的动用方案由本级政府财政部门提出，报本级政府决定。</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一般公共预算：</w:t>
      </w:r>
      <w:r>
        <w:rPr>
          <w:rFonts w:hint="eastAsia" w:ascii="仿宋_GB2312" w:hAnsi="Times New Roman" w:eastAsia="仿宋_GB2312" w:cs="Times New Roman"/>
          <w:color w:val="000000"/>
          <w:kern w:val="0"/>
          <w:sz w:val="32"/>
          <w:szCs w:val="32"/>
        </w:rPr>
        <w:t>对以税收为主体的财政收入，安排用于保障和改善民生、推动经济社会发展、维护国家安全、维持国家机构正常运转等方面的收支预算。此次《预算法》修订，将传统的一般预算、公共财政预算等概念统一为一般公共预算。</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一般性转移支付：</w:t>
      </w:r>
      <w:r>
        <w:rPr>
          <w:rFonts w:hint="eastAsia" w:ascii="仿宋_GB2312" w:hAnsi="Times New Roman" w:eastAsia="仿宋_GB2312" w:cs="Times New Roman"/>
          <w:color w:val="000000"/>
          <w:kern w:val="0"/>
          <w:sz w:val="32"/>
          <w:szCs w:val="32"/>
        </w:rPr>
        <w:t>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专项转移支付：</w:t>
      </w:r>
      <w:r>
        <w:rPr>
          <w:rFonts w:hint="eastAsia" w:ascii="仿宋_GB2312" w:hAnsi="Times New Roman" w:eastAsia="仿宋_GB2312" w:cs="Times New Roman"/>
          <w:color w:val="000000"/>
          <w:kern w:val="0"/>
          <w:sz w:val="32"/>
          <w:szCs w:val="32"/>
        </w:rPr>
        <w:t>指上级政府对承担委托事务、共同事务的下级政府，给予的用于办理特定事项的转移支付。</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中央返还：</w:t>
      </w:r>
      <w:r>
        <w:rPr>
          <w:rFonts w:hint="eastAsia" w:ascii="仿宋_GB2312" w:hAnsi="Times New Roman" w:eastAsia="仿宋_GB2312" w:cs="Times New Roman"/>
          <w:color w:val="000000"/>
          <w:kern w:val="0"/>
          <w:sz w:val="32"/>
          <w:szCs w:val="32"/>
        </w:rPr>
        <w:t>中央财政为保障消费税、增值税、企业所得税、成品油价格和税费等改革后地方的既得利益给予的税收返还。</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上解支出：</w:t>
      </w:r>
      <w:r>
        <w:rPr>
          <w:rFonts w:hint="eastAsia" w:ascii="仿宋_GB2312" w:hAnsi="Times New Roman" w:eastAsia="仿宋_GB2312" w:cs="Times New Roman"/>
          <w:color w:val="000000"/>
          <w:kern w:val="0"/>
          <w:sz w:val="32"/>
          <w:szCs w:val="32"/>
        </w:rPr>
        <w:t>指下级政府按照有关法律法规及财政体制规定，按照一定标准和计算方法测算，上交上级政府，并由上级政府统筹安排的资金。</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地方政府一般债券：</w:t>
      </w:r>
      <w:r>
        <w:rPr>
          <w:rFonts w:hint="eastAsia" w:ascii="仿宋_GB2312" w:hAnsi="Times New Roman" w:eastAsia="仿宋_GB2312" w:cs="Times New Roman"/>
          <w:color w:val="000000"/>
          <w:kern w:val="0"/>
          <w:sz w:val="32"/>
          <w:szCs w:val="32"/>
        </w:rPr>
        <w:t>指省、自治区、直辖市政府</w:t>
      </w:r>
      <w:r>
        <w:rPr>
          <w:rFonts w:ascii="Times New Roman" w:hAnsi="Times New Roman" w:eastAsia="微软雅黑" w:cs="Times New Roman"/>
          <w:color w:val="000000"/>
          <w:kern w:val="0"/>
          <w:sz w:val="32"/>
          <w:szCs w:val="32"/>
        </w:rPr>
        <w:t>(</w:t>
      </w:r>
      <w:r>
        <w:rPr>
          <w:rFonts w:hint="eastAsia" w:ascii="仿宋_GB2312" w:hAnsi="Times New Roman" w:eastAsia="仿宋_GB2312" w:cs="Times New Roman"/>
          <w:color w:val="000000"/>
          <w:kern w:val="0"/>
          <w:sz w:val="32"/>
          <w:szCs w:val="32"/>
        </w:rPr>
        <w:t>含经省级政府批准自办债券发行的计划单列市政府</w:t>
      </w:r>
      <w:r>
        <w:rPr>
          <w:rFonts w:ascii="Times New Roman" w:hAnsi="Times New Roman" w:eastAsia="微软雅黑" w:cs="Times New Roman"/>
          <w:color w:val="000000"/>
          <w:kern w:val="0"/>
          <w:sz w:val="32"/>
          <w:szCs w:val="32"/>
        </w:rPr>
        <w:t>)</w:t>
      </w:r>
      <w:r>
        <w:rPr>
          <w:rFonts w:hint="eastAsia" w:ascii="仿宋_GB2312" w:hAnsi="Times New Roman" w:eastAsia="仿宋_GB2312" w:cs="Times New Roman"/>
          <w:color w:val="000000"/>
          <w:kern w:val="0"/>
          <w:sz w:val="32"/>
          <w:szCs w:val="32"/>
        </w:rPr>
        <w:t>为没有收益的公益性项目发行的、约定一定期限内主要以一般公共预算收入还本付息的政府债券。</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Times New Roman" w:eastAsia="仿宋_GB2312" w:cs="Times New Roman"/>
          <w:b/>
          <w:bCs/>
          <w:color w:val="000000"/>
          <w:kern w:val="0"/>
          <w:sz w:val="32"/>
        </w:rPr>
        <w:t>部门预算：</w:t>
      </w:r>
      <w:r>
        <w:rPr>
          <w:rFonts w:hint="eastAsia" w:ascii="仿宋_GB2312" w:hAnsi="Times New Roman" w:eastAsia="仿宋_GB2312" w:cs="Times New Roman"/>
          <w:color w:val="000000"/>
          <w:kern w:val="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hd w:val="clear" w:color="auto" w:fill="FFFFFF"/>
        <w:spacing w:line="600" w:lineRule="atLeast"/>
        <w:ind w:firstLine="645"/>
        <w:jc w:val="left"/>
        <w:rPr>
          <w:rFonts w:hint="eastAsia" w:ascii="微软雅黑" w:hAnsi="微软雅黑" w:eastAsia="微软雅黑" w:cs="宋体"/>
          <w:color w:val="000000"/>
          <w:kern w:val="0"/>
          <w:szCs w:val="21"/>
        </w:rPr>
      </w:pPr>
      <w:r>
        <w:rPr>
          <w:rFonts w:hint="eastAsia" w:ascii="仿宋_GB2312" w:hAnsi="微软雅黑" w:eastAsia="仿宋_GB2312" w:cs="宋体"/>
          <w:b/>
          <w:bCs/>
          <w:color w:val="000000"/>
          <w:kern w:val="0"/>
          <w:sz w:val="32"/>
        </w:rPr>
        <w:t>“三公”经费：</w:t>
      </w:r>
      <w:r>
        <w:rPr>
          <w:rFonts w:hint="eastAsia" w:ascii="仿宋_GB2312" w:hAnsi="微软雅黑" w:eastAsia="仿宋_GB2312" w:cs="宋体"/>
          <w:color w:val="000000"/>
          <w:kern w:val="0"/>
          <w:sz w:val="32"/>
          <w:szCs w:val="32"/>
        </w:rPr>
        <w:t>指因公出国（境）费、公务用车购置及运行费和公务接待费。其中，因公出国（境）费反映单位公务出国（境）的国际旅费、国外城市间交通费、住宿费、伙食费、培训费、公杂费等支出；公务用车购置及运行费反映单位公务用车购置费及租用费、燃料费、维修费、过路过桥费、保险费、安全奖励费用等支出；公务接待费反映单位按规定开支的各类公务接待支出。</w:t>
      </w:r>
    </w:p>
    <w:p>
      <w:pPr>
        <w:widowControl/>
        <w:shd w:val="clear" w:color="auto" w:fill="FFFFFF"/>
        <w:jc w:val="center"/>
        <w:rPr>
          <w:rFonts w:hint="eastAsia" w:ascii="微软雅黑" w:hAnsi="微软雅黑" w:eastAsia="微软雅黑" w:cs="宋体"/>
          <w:color w:val="000000"/>
          <w:kern w:val="0"/>
          <w:szCs w:val="21"/>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tyle>
  <w:style w:type="character" w:styleId="3">
    <w:name w:val="Strong"/>
    <w:basedOn w:val="2"/>
    <w:rPr>
      <w:b/>
      <w:bCs/>
    </w:rPr>
  </w:style>
  <w:style w:type="paragraph" w:customStyle="1" w:styleId="4">
    <w:name w:val="Normal (Web)"/>
    <w:basedOn w:val="1"/>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1074</Characters>
  <Lines>8</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2017-10-26T02:17:00Z</dcterms:created>
  <dc:creator>Administrator</dc:creator>
  <dcterms:modified xsi:type="dcterms:W3CDTF">2017-11-17T10:43:56Z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