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hint="eastAsia" w:ascii="仿宋_GB2312" w:hAnsi="仿宋" w:eastAsia="仿宋_GB2312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sz w:val="44"/>
          <w:szCs w:val="44"/>
          <w:lang w:val="en-US" w:eastAsia="zh-CN"/>
        </w:rPr>
        <w:t xml:space="preserve">洛龙区科协关于2016年部门预算政府性                    </w:t>
      </w:r>
    </w:p>
    <w:p>
      <w:pPr>
        <w:ind w:firstLine="560"/>
        <w:rPr>
          <w:rFonts w:hint="eastAsia" w:ascii="仿宋_GB2312" w:hAnsi="仿宋" w:eastAsia="仿宋_GB2312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sz w:val="44"/>
          <w:szCs w:val="44"/>
          <w:lang w:val="en-US" w:eastAsia="zh-CN"/>
        </w:rPr>
        <w:t xml:space="preserve">         基金支出的说明</w:t>
      </w:r>
    </w:p>
    <w:p>
      <w:pPr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" w:eastAsia="仿宋_GB2312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sz w:val="44"/>
          <w:szCs w:val="44"/>
          <w:lang w:val="en-US" w:eastAsia="zh-CN"/>
        </w:rPr>
        <w:t xml:space="preserve">  洛龙区科协2016</w:t>
      </w:r>
      <w:bookmarkStart w:id="0" w:name="_GoBack"/>
      <w:bookmarkEnd w:id="0"/>
      <w:r>
        <w:rPr>
          <w:rFonts w:hint="eastAsia" w:ascii="仿宋_GB2312" w:hAnsi="仿宋" w:eastAsia="仿宋_GB2312"/>
          <w:sz w:val="44"/>
          <w:szCs w:val="44"/>
          <w:lang w:val="en-US" w:eastAsia="zh-CN"/>
        </w:rPr>
        <w:t>年部门预算没有政府性基金收入及支出。</w:t>
      </w:r>
    </w:p>
    <w:p>
      <w:pPr>
        <w:rPr>
          <w:rFonts w:hint="eastAsia" w:ascii="仿宋_GB2312" w:hAnsi="仿宋" w:eastAsia="仿宋_GB2312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sz w:val="44"/>
          <w:szCs w:val="44"/>
          <w:lang w:val="en-US" w:eastAsia="zh-CN"/>
        </w:rPr>
        <w:t>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D65C8"/>
    <w:rsid w:val="1B690FB4"/>
    <w:rsid w:val="56AD6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2017-03-21T09:27:00Z</dcterms:created>
  <dc:creator>Administrator</dc:creator>
  <cp:lastModifiedBy>Administrator</cp:lastModifiedBy>
  <dcterms:modified xsi:type="dcterms:W3CDTF">2017-11-17T08:02:34Z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