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napToGrid w:val="0"/>
        <w:spacing w:line="360" w:lineRule="auto"/>
        <w:ind w:left="0"/>
        <w:rPr>
          <w:rFonts w:ascii="黑体" w:eastAsia="黑体" w:cs="黑体"/>
        </w:rPr>
      </w:pPr>
      <w:r>
        <w:rPr>
          <w:rFonts w:hint="eastAsia" w:ascii="黑体" w:eastAsia="黑体" w:cs="黑体"/>
        </w:rPr>
        <w:t>六、</w:t>
      </w:r>
      <w:r>
        <w:rPr>
          <w:rFonts w:hint="eastAsia" w:ascii="黑体" w:eastAsia="黑体" w:cs="黑体"/>
          <w:lang w:eastAsia="zh-CN"/>
        </w:rPr>
        <w:t>专业名词解释</w:t>
      </w:r>
    </w:p>
    <w:p>
      <w:pPr>
        <w:pStyle w:val="2"/>
        <w:kinsoku w:val="0"/>
        <w:overflowPunct w:val="0"/>
        <w:snapToGrid w:val="0"/>
        <w:spacing w:line="360" w:lineRule="auto"/>
        <w:ind w:left="0" w:leftChars="0" w:firstLine="0" w:firstLineChars="0"/>
        <w:jc w:val="both"/>
        <w:rPr>
          <w:rFonts w:hAnsi="宋体" w:cs="Courier New"/>
        </w:rPr>
      </w:pPr>
      <w:r>
        <w:rPr>
          <w:rFonts w:hint="eastAsia" w:hAnsi="宋体" w:cs="Courier New"/>
          <w:lang w:val="en-US" w:eastAsia="zh-CN"/>
        </w:rPr>
        <w:t xml:space="preserve">    </w:t>
      </w:r>
      <w:r>
        <w:rPr>
          <w:rFonts w:hint="eastAsia" w:hAnsi="宋体" w:cs="Courier New"/>
        </w:rPr>
        <w:t>一、财政拨款收入：是指省级财政当年拨付的资金。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二、事业收入：是指事业单位开展专业活动及辅助活动所取得的收入。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 xml:space="preserve">三、其他收入：是指部门取得的除“财政拨款”、“事业收入”、“事业单位经营收入”等以外的收入。 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六、基本支出：是指为保障机构正常运转、完成日常工作任务所必需的开支，其内容包括人员经费和日常公用经费两部分。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七、项目支出：是指在基本支出之外，为完成特定的行政工作任务或事业发展目标所发生的支出。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八、一般公共服务（类）××事务（款）：是指××厅（局）用于保障机构正常运行、开展××业务等活动的支出。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（一）行政运行（项）：是指为保障××厅（局）各行政机构正常运转、完成日常工作任务安排的支出。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（二）一般行政管理事务（项）：是指××厅（局）机关及所属二级单位的项目支出。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（三）机关服务（项）：是指为××厅（局）机关提供后勤保障服务的机关服务局的支出。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（四）事业运行（项）：是指事业单位用于保障机构正常运转的基本支出。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（八）其他××支出（项）：……。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……。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  <w:rPr>
          <w:rFonts w:hAnsi="宋体" w:cs="Courier New"/>
        </w:rPr>
      </w:pPr>
      <w:r>
        <w:rPr>
          <w:rFonts w:hint="eastAsia" w:hAnsi="宋体" w:cs="Courier New"/>
        </w:rPr>
        <w:t>九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2"/>
        <w:kinsoku w:val="0"/>
        <w:overflowPunct w:val="0"/>
        <w:snapToGrid w:val="0"/>
        <w:spacing w:line="360" w:lineRule="auto"/>
        <w:ind w:left="0" w:firstLine="640" w:firstLineChars="200"/>
        <w:jc w:val="both"/>
      </w:pPr>
      <w:r>
        <w:rPr>
          <w:rFonts w:hint="eastAsia" w:hAnsi="宋体" w:cs="Courier New"/>
        </w:rPr>
        <w:t>十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2"/>
      <w:jc w:val="center"/>
    </w:pPr>
    <w:r>
      <w:rPr>
        <w:rFonts w:hint="eastAsia"/>
        <w:b/>
        <w:sz w:val="24"/>
        <w:szCs w:val="24"/>
      </w:rPr>
      <w:t>－</w:t>
    </w: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PAGE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12</w:t>
    </w:r>
    <w:r>
      <w:rPr>
        <w:rFonts w:ascii="Arial" w:hAnsi="Arial" w:cs="Arial"/>
        <w:b/>
        <w:sz w:val="21"/>
        <w:szCs w:val="21"/>
      </w:rPr>
      <w:fldChar w:fldCharType="end"/>
    </w:r>
    <w:r>
      <w:rPr>
        <w:rFonts w:hint="eastAsia"/>
        <w:b/>
        <w:sz w:val="24"/>
        <w:szCs w:val="24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6A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240" w:lineRule="auto"/>
      <w:ind w:left="761" w:firstLine="0" w:firstLineChars="0"/>
      <w:jc w:val="left"/>
    </w:pPr>
    <w:rPr>
      <w:rFonts w:ascii="仿宋_GB2312" w:hAnsi="Times New Roman" w:eastAsia="仿宋_GB2312" w:cs="仿宋_GB231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</dc:creator>
  <cp:lastModifiedBy>e</cp:lastModifiedBy>
  <dcterms:modified xsi:type="dcterms:W3CDTF">2017-03-24T07:04:13Z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