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粗宋简体" w:hAnsi="方正粗宋简体" w:eastAsia="方正粗宋简体" w:cs="方正粗宋简体"/>
          <w:sz w:val="36"/>
          <w:szCs w:val="36"/>
          <w:lang w:val="en-US" w:eastAsia="zh-CN"/>
        </w:rPr>
      </w:pPr>
      <w:r>
        <w:rPr>
          <w:rFonts w:hint="eastAsia" w:ascii="方正粗宋简体" w:hAnsi="方正粗宋简体" w:eastAsia="方正粗宋简体" w:cs="方正粗宋简体"/>
          <w:sz w:val="36"/>
          <w:szCs w:val="36"/>
          <w:lang w:val="en-US" w:eastAsia="zh-CN"/>
        </w:rPr>
        <w:t>洛龙区工业和信息化委员会</w:t>
      </w:r>
    </w:p>
    <w:p>
      <w:pPr>
        <w:jc w:val="center"/>
        <w:rPr>
          <w:rFonts w:hint="eastAsia" w:ascii="方正粗宋简体" w:hAnsi="方正粗宋简体" w:eastAsia="方正粗宋简体" w:cs="方正粗宋简体"/>
          <w:sz w:val="36"/>
          <w:szCs w:val="36"/>
          <w:lang w:val="en-US" w:eastAsia="zh-CN"/>
        </w:rPr>
      </w:pPr>
      <w:r>
        <w:rPr>
          <w:rFonts w:hint="eastAsia" w:ascii="方正粗宋简体" w:hAnsi="方正粗宋简体" w:eastAsia="方正粗宋简体" w:cs="方正粗宋简体"/>
          <w:sz w:val="36"/>
          <w:szCs w:val="36"/>
          <w:lang w:val="en-US" w:eastAsia="zh-CN"/>
        </w:rPr>
        <w:t>部门预算专业名词解释</w:t>
      </w:r>
    </w:p>
    <w:p>
      <w:pPr>
        <w:jc w:val="center"/>
        <w:rPr>
          <w:rFonts w:hint="eastAsia" w:ascii="方正粗宋简体" w:hAnsi="方正粗宋简体" w:eastAsia="方正粗宋简体" w:cs="方正粗宋简体"/>
          <w:sz w:val="36"/>
          <w:szCs w:val="36"/>
          <w:lang w:val="en-US" w:eastAsia="zh-CN"/>
        </w:rPr>
      </w:pP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对机关运行经费预算中专业名词的解释如下：</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社会保障和就业支出。指政府在社会保障和就业方面的支出。</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归口管理的行政单位离退休。指实行归口管理的行政单位，包括实行公务员管理的事业单位开支的离退休经费。包括我委离退休29人离退休经费开支。</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事业单位离退休。指实行归口管理的事业单位开支的离退休经费。指我委代管人员中事业身份退休人员经费开支。</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未归口管理的行政单位离退休。指未实行归口管理的行政单位包括实行公务员管理的事业单位开支的离退休支出。包括我委代管物资局、建材站、沙石办，企业军转干部等人员离退休支出。</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资源勘探信息等支出。指用于资源勘探、制造业、建筑业、工业信息等方面支出，具体到我委，指工业信息等方面支出。</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政运行。指行政单位包括实行公务员管理的事业单位的基本支出。包含工资福利支出、商品和服务支出、对个人和家庭的补助支出。其中，工资福利包含人员的基本工资、津贴补贴、奖金、社会保障缴费、绩效工资等费用。商品和</w:t>
      </w:r>
      <w:bookmarkStart w:id="0" w:name="_GoBack"/>
      <w:bookmarkEnd w:id="0"/>
      <w:r>
        <w:rPr>
          <w:rFonts w:hint="eastAsia" w:ascii="仿宋" w:hAnsi="仿宋" w:eastAsia="仿宋" w:cs="仿宋"/>
          <w:sz w:val="32"/>
          <w:szCs w:val="32"/>
          <w:lang w:val="en-US" w:eastAsia="zh-CN"/>
        </w:rPr>
        <w:t>服务支出包含办公费、印刷费、邮电费等费用。对个人和家庭的补助支出包含离休费、退休费、采暖补贴等费用。</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一般行政管理事务。指行政单位包括实行公务员管理的事业单位未单独设置项级科目的其他项目支出。</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行业监管。指用于信息行业监督管理方面的支出。具体到我委，指迎检、民营、信息化考核方面的经费支出。</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医疗卫生与计划生育支出。指政府医疗卫生与计划生育管理方面的支出。具体到我委，指对单位职工医保金、工伤保险、生育保险、失业保险、机关养老保险、职业年金等费用的缴纳支出。</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住房保障支出。指政府用于住房方面的支出。具体到我委，指对职工住房公积金的缴纳支出。</w:t>
      </w:r>
    </w:p>
    <w:p>
      <w:pPr>
        <w:widowControl w:val="0"/>
        <w:numPr>
          <w:numId w:val="0"/>
        </w:numPr>
        <w:jc w:val="left"/>
        <w:rPr>
          <w:rFonts w:hint="eastAsia" w:ascii="仿宋" w:hAnsi="仿宋" w:eastAsia="仿宋" w:cs="仿宋"/>
          <w:sz w:val="32"/>
          <w:szCs w:val="32"/>
          <w:lang w:val="en-US" w:eastAsia="zh-CN"/>
        </w:rPr>
      </w:pPr>
    </w:p>
    <w:p>
      <w:pPr>
        <w:widowControl w:val="0"/>
        <w:numPr>
          <w:numId w:val="0"/>
        </w:numPr>
        <w:jc w:val="left"/>
        <w:rPr>
          <w:rFonts w:hint="eastAsia" w:ascii="仿宋" w:hAnsi="仿宋" w:eastAsia="仿宋" w:cs="仿宋"/>
          <w:sz w:val="32"/>
          <w:szCs w:val="32"/>
          <w:lang w:val="en-US" w:eastAsia="zh-CN"/>
        </w:rPr>
      </w:pPr>
    </w:p>
    <w:p>
      <w:pPr>
        <w:widowControl w:val="0"/>
        <w:numPr>
          <w:numId w:val="0"/>
        </w:numPr>
        <w:jc w:val="left"/>
        <w:rPr>
          <w:rFonts w:hint="eastAsia" w:ascii="仿宋" w:hAnsi="仿宋" w:eastAsia="仿宋" w:cs="仿宋"/>
          <w:sz w:val="32"/>
          <w:szCs w:val="32"/>
          <w:lang w:val="en-US" w:eastAsia="zh-CN"/>
        </w:rPr>
      </w:pPr>
    </w:p>
    <w:p>
      <w:pPr>
        <w:widowControl w:val="0"/>
        <w:numPr>
          <w:numId w:val="0"/>
        </w:num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洛龙区工业和信息化委员会</w:t>
      </w:r>
    </w:p>
    <w:p>
      <w:pPr>
        <w:widowControl w:val="0"/>
        <w:numPr>
          <w:numId w:val="0"/>
        </w:num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2017年3月22日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粗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32B77"/>
    <w:multiLevelType w:val="singleLevel"/>
    <w:tmpl w:val="58D32B7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7308C"/>
    <w:rsid w:val="205A549E"/>
    <w:rsid w:val="2A4C69DB"/>
    <w:rsid w:val="70665183"/>
    <w:rsid w:val="70CE261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2017-03-23T02:17:28Z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